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FCE" w:rsidRDefault="006A5FCE" w:rsidP="006A5FCE">
      <w:pPr>
        <w:spacing w:after="0" w:line="240" w:lineRule="auto"/>
        <w:jc w:val="right"/>
      </w:pPr>
      <w:r>
        <w:tab/>
      </w:r>
      <w:r>
        <w:tab/>
      </w:r>
      <w:r>
        <w:tab/>
      </w:r>
      <w:r>
        <w:tab/>
      </w:r>
      <w:r>
        <w:tab/>
      </w:r>
      <w:r>
        <w:tab/>
      </w:r>
      <w:r>
        <w:tab/>
      </w:r>
      <w:r>
        <w:tab/>
      </w:r>
      <w:r>
        <w:tab/>
      </w:r>
      <w:r>
        <w:tab/>
        <w:t xml:space="preserve">Allegato A al Piano comunale triennale di prevenzione </w:t>
      </w:r>
    </w:p>
    <w:p w:rsidR="00AA619B" w:rsidRDefault="006A5FCE" w:rsidP="006A5FCE">
      <w:pPr>
        <w:spacing w:after="0" w:line="240" w:lineRule="auto"/>
        <w:jc w:val="right"/>
      </w:pPr>
      <w:r>
        <w:t>della corruzione e dell’illegalità – Annualità 201</w:t>
      </w:r>
      <w:r w:rsidR="008375C0">
        <w:t>5</w:t>
      </w:r>
      <w:r w:rsidR="001F0997">
        <w:t>/201</w:t>
      </w:r>
      <w:r w:rsidR="008375C0">
        <w:t>7</w:t>
      </w:r>
    </w:p>
    <w:p w:rsidR="006A5FCE" w:rsidRDefault="006A5FCE" w:rsidP="006A5FCE">
      <w:pPr>
        <w:spacing w:after="0" w:line="240" w:lineRule="auto"/>
        <w:jc w:val="right"/>
      </w:pPr>
    </w:p>
    <w:p w:rsidR="006A5FCE" w:rsidRDefault="006A5FCE" w:rsidP="006A5FCE">
      <w:pPr>
        <w:spacing w:after="0" w:line="240" w:lineRule="auto"/>
        <w:jc w:val="right"/>
      </w:pPr>
    </w:p>
    <w:p w:rsidR="006A5FCE" w:rsidRDefault="006A5FCE" w:rsidP="006A5FCE">
      <w:pPr>
        <w:spacing w:after="0" w:line="240" w:lineRule="auto"/>
        <w:jc w:val="right"/>
      </w:pPr>
    </w:p>
    <w:p w:rsidR="006A5FCE" w:rsidRPr="00D47A9A" w:rsidRDefault="006A5FCE" w:rsidP="006A5FCE">
      <w:pPr>
        <w:jc w:val="center"/>
        <w:rPr>
          <w:rFonts w:ascii="Arial" w:hAnsi="Arial" w:cs="Arial"/>
          <w:sz w:val="24"/>
          <w:szCs w:val="24"/>
        </w:rPr>
      </w:pPr>
      <w:r>
        <w:rPr>
          <w:rFonts w:ascii="Arial" w:hAnsi="Arial" w:cs="Arial"/>
          <w:noProof/>
          <w:sz w:val="24"/>
          <w:szCs w:val="24"/>
          <w:lang w:eastAsia="it-IT"/>
        </w:rPr>
        <w:drawing>
          <wp:inline distT="0" distB="0" distL="0" distR="0">
            <wp:extent cx="1295400" cy="933450"/>
            <wp:effectExtent l="0" t="0" r="0" b="0"/>
            <wp:docPr id="1"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5400" cy="933450"/>
                    </a:xfrm>
                    <a:prstGeom prst="rect">
                      <a:avLst/>
                    </a:prstGeom>
                    <a:noFill/>
                    <a:ln>
                      <a:noFill/>
                    </a:ln>
                  </pic:spPr>
                </pic:pic>
              </a:graphicData>
            </a:graphic>
          </wp:inline>
        </w:drawing>
      </w:r>
    </w:p>
    <w:p w:rsidR="006A5FCE" w:rsidRDefault="006A5FCE" w:rsidP="006A5FCE">
      <w:pPr>
        <w:jc w:val="center"/>
        <w:rPr>
          <w:rFonts w:ascii="Arial" w:hAnsi="Arial" w:cs="Arial"/>
          <w:sz w:val="24"/>
          <w:szCs w:val="24"/>
        </w:rPr>
      </w:pPr>
      <w:r w:rsidRPr="00EB46DF">
        <w:rPr>
          <w:b/>
          <w:spacing w:val="50"/>
          <w:sz w:val="48"/>
          <w:szCs w:val="48"/>
        </w:rPr>
        <w:t xml:space="preserve">CITTÀ </w:t>
      </w:r>
      <w:r w:rsidRPr="00EB46DF">
        <w:rPr>
          <w:b/>
          <w:spacing w:val="50"/>
          <w:sz w:val="28"/>
          <w:szCs w:val="28"/>
        </w:rPr>
        <w:t>di</w:t>
      </w:r>
      <w:r w:rsidRPr="00EB46DF">
        <w:rPr>
          <w:b/>
          <w:spacing w:val="50"/>
          <w:sz w:val="48"/>
          <w:szCs w:val="48"/>
        </w:rPr>
        <w:t xml:space="preserve"> VENTIMIGLIA</w:t>
      </w:r>
      <w:r>
        <w:rPr>
          <w:b/>
          <w:spacing w:val="50"/>
          <w:sz w:val="48"/>
          <w:szCs w:val="48"/>
        </w:rPr>
        <w:br/>
      </w:r>
      <w:r w:rsidRPr="00D47A9A">
        <w:rPr>
          <w:rFonts w:ascii="Arial" w:hAnsi="Arial" w:cs="Arial"/>
          <w:sz w:val="24"/>
          <w:szCs w:val="24"/>
        </w:rPr>
        <w:t>______________________</w:t>
      </w:r>
    </w:p>
    <w:p w:rsidR="006A5FCE" w:rsidRDefault="006A5FCE" w:rsidP="006A5FCE">
      <w:pPr>
        <w:jc w:val="center"/>
        <w:rPr>
          <w:rFonts w:ascii="Arial" w:hAnsi="Arial" w:cs="Arial"/>
          <w:sz w:val="24"/>
          <w:szCs w:val="24"/>
        </w:rPr>
      </w:pPr>
    </w:p>
    <w:p w:rsidR="006A5FCE" w:rsidRDefault="006A5FCE" w:rsidP="006A5FCE">
      <w:pPr>
        <w:jc w:val="center"/>
        <w:rPr>
          <w:rFonts w:ascii="Arial" w:hAnsi="Arial" w:cs="Arial"/>
          <w:sz w:val="24"/>
          <w:szCs w:val="24"/>
        </w:rPr>
      </w:pPr>
    </w:p>
    <w:p w:rsidR="006A5FCE" w:rsidRPr="006A5FCE" w:rsidRDefault="006A5FCE" w:rsidP="006A5FCE">
      <w:pPr>
        <w:jc w:val="center"/>
        <w:rPr>
          <w:rFonts w:ascii="Arial" w:hAnsi="Arial" w:cs="Arial"/>
          <w:b/>
          <w:sz w:val="40"/>
          <w:szCs w:val="40"/>
        </w:rPr>
      </w:pPr>
    </w:p>
    <w:p w:rsidR="006A5FCE" w:rsidRPr="006A5FCE" w:rsidRDefault="006A5FCE" w:rsidP="006A5FCE">
      <w:pPr>
        <w:jc w:val="center"/>
        <w:rPr>
          <w:rFonts w:ascii="Arial" w:hAnsi="Arial" w:cs="Arial"/>
          <w:b/>
          <w:sz w:val="40"/>
          <w:szCs w:val="40"/>
        </w:rPr>
      </w:pPr>
      <w:r w:rsidRPr="006A5FCE">
        <w:rPr>
          <w:rFonts w:ascii="Arial" w:hAnsi="Arial" w:cs="Arial"/>
          <w:b/>
          <w:sz w:val="40"/>
          <w:szCs w:val="40"/>
        </w:rPr>
        <w:t>Schede procedimenti a rischio di corruzione</w:t>
      </w:r>
    </w:p>
    <w:p w:rsidR="006A5FCE" w:rsidRDefault="006A5FCE" w:rsidP="006A5FCE">
      <w:pPr>
        <w:pStyle w:val="Intestazione"/>
      </w:pPr>
    </w:p>
    <w:p w:rsidR="006A5FCE" w:rsidRDefault="006A5FCE" w:rsidP="006A5FCE">
      <w:pPr>
        <w:spacing w:after="0" w:line="240" w:lineRule="auto"/>
        <w:jc w:val="right"/>
      </w:pPr>
    </w:p>
    <w:p w:rsidR="006A5FCE" w:rsidRDefault="006A5FCE" w:rsidP="006A5FCE">
      <w:pPr>
        <w:spacing w:after="0" w:line="240" w:lineRule="auto"/>
        <w:jc w:val="right"/>
      </w:pPr>
    </w:p>
    <w:p w:rsidR="006A5FCE" w:rsidRDefault="006A5FCE" w:rsidP="006A5FCE">
      <w:pPr>
        <w:spacing w:after="0" w:line="240" w:lineRule="auto"/>
        <w:jc w:val="right"/>
      </w:pPr>
    </w:p>
    <w:p w:rsidR="006A5FCE" w:rsidRDefault="006A5FCE" w:rsidP="006A5FCE">
      <w:pPr>
        <w:spacing w:after="0" w:line="240" w:lineRule="auto"/>
        <w:jc w:val="right"/>
      </w:pPr>
    </w:p>
    <w:p w:rsidR="006A5FCE" w:rsidRDefault="006A5FCE" w:rsidP="006A5FCE">
      <w:pPr>
        <w:spacing w:after="0" w:line="240" w:lineRule="auto"/>
        <w:jc w:val="right"/>
      </w:pPr>
    </w:p>
    <w:p w:rsidR="006A5FCE" w:rsidRDefault="006A5FCE" w:rsidP="006A5FCE">
      <w:pPr>
        <w:spacing w:after="0" w:line="240" w:lineRule="auto"/>
        <w:jc w:val="right"/>
      </w:pPr>
    </w:p>
    <w:p w:rsidR="006A5FCE" w:rsidRDefault="006A5FCE" w:rsidP="006A5FCE">
      <w:pPr>
        <w:spacing w:after="0" w:line="240" w:lineRule="auto"/>
        <w:jc w:val="right"/>
      </w:pPr>
    </w:p>
    <w:p w:rsidR="006A5FCE" w:rsidRDefault="006A5FCE" w:rsidP="006A5FCE">
      <w:pPr>
        <w:spacing w:after="0" w:line="240" w:lineRule="auto"/>
        <w:jc w:val="right"/>
      </w:pPr>
    </w:p>
    <w:p w:rsidR="006A5FCE" w:rsidRDefault="006A5FCE" w:rsidP="006A5FCE">
      <w:pPr>
        <w:spacing w:after="0" w:line="240" w:lineRule="auto"/>
        <w:jc w:val="right"/>
      </w:pPr>
    </w:p>
    <w:tbl>
      <w:tblPr>
        <w:tblStyle w:val="Grigliatabella"/>
        <w:tblW w:w="0" w:type="auto"/>
        <w:tblLook w:val="04A0"/>
      </w:tblPr>
      <w:tblGrid>
        <w:gridCol w:w="3652"/>
        <w:gridCol w:w="2552"/>
        <w:gridCol w:w="8223"/>
      </w:tblGrid>
      <w:tr w:rsidR="005845CA" w:rsidTr="0009014D">
        <w:tc>
          <w:tcPr>
            <w:tcW w:w="14427" w:type="dxa"/>
            <w:gridSpan w:val="3"/>
          </w:tcPr>
          <w:p w:rsidR="00DD150A" w:rsidRDefault="00DD150A" w:rsidP="005845CA">
            <w:pPr>
              <w:jc w:val="center"/>
              <w:rPr>
                <w:b/>
                <w:sz w:val="24"/>
                <w:szCs w:val="24"/>
              </w:rPr>
            </w:pPr>
          </w:p>
          <w:p w:rsidR="00DD150A" w:rsidRPr="006A5FCE" w:rsidRDefault="005845CA" w:rsidP="00DD150A">
            <w:pPr>
              <w:jc w:val="center"/>
              <w:rPr>
                <w:b/>
                <w:sz w:val="24"/>
                <w:szCs w:val="24"/>
              </w:rPr>
            </w:pPr>
            <w:r w:rsidRPr="006A5FCE">
              <w:rPr>
                <w:b/>
                <w:sz w:val="24"/>
                <w:szCs w:val="24"/>
              </w:rPr>
              <w:t>SCHEDA N. 1: APPALTI</w:t>
            </w:r>
          </w:p>
        </w:tc>
      </w:tr>
      <w:tr w:rsidR="006A5FCE" w:rsidTr="005845CA">
        <w:tc>
          <w:tcPr>
            <w:tcW w:w="3652" w:type="dxa"/>
          </w:tcPr>
          <w:p w:rsidR="005845CA" w:rsidRPr="00C61A37" w:rsidRDefault="005845CA" w:rsidP="005845CA">
            <w:pPr>
              <w:jc w:val="center"/>
              <w:rPr>
                <w:b/>
                <w:sz w:val="16"/>
                <w:szCs w:val="16"/>
              </w:rPr>
            </w:pPr>
          </w:p>
          <w:p w:rsidR="005845CA" w:rsidRPr="00C61A37" w:rsidRDefault="005845CA" w:rsidP="00C61A37">
            <w:pPr>
              <w:jc w:val="center"/>
            </w:pPr>
            <w:r w:rsidRPr="00C61A37">
              <w:t>Procedimenti</w:t>
            </w:r>
          </w:p>
        </w:tc>
        <w:tc>
          <w:tcPr>
            <w:tcW w:w="2552" w:type="dxa"/>
          </w:tcPr>
          <w:p w:rsidR="005845CA" w:rsidRPr="005845CA" w:rsidRDefault="005845CA" w:rsidP="005845CA">
            <w:pPr>
              <w:jc w:val="center"/>
              <w:rPr>
                <w:b/>
              </w:rPr>
            </w:pPr>
          </w:p>
          <w:p w:rsidR="006A5FCE" w:rsidRPr="005845CA" w:rsidRDefault="005845CA" w:rsidP="005845CA">
            <w:pPr>
              <w:jc w:val="center"/>
              <w:rPr>
                <w:b/>
              </w:rPr>
            </w:pPr>
            <w:r w:rsidRPr="005845CA">
              <w:rPr>
                <w:b/>
              </w:rPr>
              <w:t>Livello di rischio</w:t>
            </w:r>
          </w:p>
        </w:tc>
        <w:tc>
          <w:tcPr>
            <w:tcW w:w="8223" w:type="dxa"/>
          </w:tcPr>
          <w:p w:rsidR="005845CA" w:rsidRPr="005845CA" w:rsidRDefault="005845CA" w:rsidP="005845CA">
            <w:pPr>
              <w:jc w:val="center"/>
              <w:rPr>
                <w:b/>
              </w:rPr>
            </w:pPr>
          </w:p>
          <w:p w:rsidR="005845CA" w:rsidRPr="005845CA" w:rsidRDefault="005845CA" w:rsidP="00C61A37">
            <w:pPr>
              <w:jc w:val="center"/>
              <w:rPr>
                <w:b/>
              </w:rPr>
            </w:pPr>
            <w:r w:rsidRPr="005845CA">
              <w:rPr>
                <w:b/>
              </w:rPr>
              <w:t>Misure di prevenzione</w:t>
            </w:r>
          </w:p>
        </w:tc>
      </w:tr>
      <w:tr w:rsidR="006A5FCE" w:rsidTr="005845CA">
        <w:tc>
          <w:tcPr>
            <w:tcW w:w="3652" w:type="dxa"/>
          </w:tcPr>
          <w:p w:rsidR="006A5FCE" w:rsidRPr="005845CA" w:rsidRDefault="005845CA" w:rsidP="005845CA">
            <w:pPr>
              <w:jc w:val="both"/>
              <w:rPr>
                <w:sz w:val="20"/>
                <w:szCs w:val="20"/>
              </w:rPr>
            </w:pPr>
            <w:r w:rsidRPr="005845CA">
              <w:rPr>
                <w:sz w:val="20"/>
                <w:szCs w:val="20"/>
              </w:rPr>
              <w:t>Lavori eseguiti in somma urgenza</w:t>
            </w:r>
          </w:p>
        </w:tc>
        <w:tc>
          <w:tcPr>
            <w:tcW w:w="2552" w:type="dxa"/>
          </w:tcPr>
          <w:p w:rsidR="005845CA" w:rsidRPr="005845CA" w:rsidRDefault="005845CA" w:rsidP="005845CA">
            <w:pPr>
              <w:jc w:val="center"/>
              <w:rPr>
                <w:sz w:val="20"/>
                <w:szCs w:val="20"/>
              </w:rPr>
            </w:pPr>
            <w:r>
              <w:rPr>
                <w:sz w:val="20"/>
                <w:szCs w:val="20"/>
              </w:rPr>
              <w:t>Alto</w:t>
            </w:r>
          </w:p>
        </w:tc>
        <w:tc>
          <w:tcPr>
            <w:tcW w:w="8223" w:type="dxa"/>
          </w:tcPr>
          <w:p w:rsidR="006A5FCE" w:rsidRDefault="005845CA" w:rsidP="005845CA">
            <w:pPr>
              <w:pStyle w:val="Paragrafoelenco"/>
              <w:numPr>
                <w:ilvl w:val="0"/>
                <w:numId w:val="1"/>
              </w:numPr>
              <w:ind w:left="305" w:hanging="305"/>
              <w:jc w:val="both"/>
              <w:rPr>
                <w:sz w:val="20"/>
                <w:szCs w:val="20"/>
              </w:rPr>
            </w:pPr>
            <w:r>
              <w:rPr>
                <w:sz w:val="20"/>
                <w:szCs w:val="20"/>
              </w:rPr>
              <w:t>Registro delle somme urgenze, recante le seguenti informazioni:</w:t>
            </w:r>
          </w:p>
          <w:p w:rsidR="005845CA" w:rsidRDefault="005845CA" w:rsidP="005845CA">
            <w:pPr>
              <w:pStyle w:val="Paragrafoelenco"/>
              <w:numPr>
                <w:ilvl w:val="0"/>
                <w:numId w:val="2"/>
              </w:numPr>
              <w:ind w:left="600" w:hanging="240"/>
              <w:jc w:val="both"/>
              <w:rPr>
                <w:sz w:val="20"/>
                <w:szCs w:val="20"/>
              </w:rPr>
            </w:pPr>
            <w:r>
              <w:rPr>
                <w:sz w:val="20"/>
                <w:szCs w:val="20"/>
              </w:rPr>
              <w:t>Estremi del provvedimento di affidamento</w:t>
            </w:r>
          </w:p>
          <w:p w:rsidR="005845CA" w:rsidRDefault="005845CA" w:rsidP="005845CA">
            <w:pPr>
              <w:pStyle w:val="Paragrafoelenco"/>
              <w:numPr>
                <w:ilvl w:val="0"/>
                <w:numId w:val="2"/>
              </w:numPr>
              <w:ind w:left="600" w:hanging="240"/>
              <w:jc w:val="both"/>
              <w:rPr>
                <w:sz w:val="20"/>
                <w:szCs w:val="20"/>
              </w:rPr>
            </w:pPr>
            <w:r>
              <w:rPr>
                <w:sz w:val="20"/>
                <w:szCs w:val="20"/>
              </w:rPr>
              <w:t>Oggetto del</w:t>
            </w:r>
            <w:r w:rsidR="001122D1">
              <w:rPr>
                <w:sz w:val="20"/>
                <w:szCs w:val="20"/>
              </w:rPr>
              <w:t>l</w:t>
            </w:r>
            <w:r>
              <w:rPr>
                <w:sz w:val="20"/>
                <w:szCs w:val="20"/>
              </w:rPr>
              <w:t>a fornitura</w:t>
            </w:r>
          </w:p>
          <w:p w:rsidR="005845CA" w:rsidRDefault="005845CA" w:rsidP="005845CA">
            <w:pPr>
              <w:pStyle w:val="Paragrafoelenco"/>
              <w:numPr>
                <w:ilvl w:val="0"/>
                <w:numId w:val="2"/>
              </w:numPr>
              <w:ind w:left="600" w:hanging="240"/>
              <w:jc w:val="both"/>
              <w:rPr>
                <w:sz w:val="20"/>
                <w:szCs w:val="20"/>
              </w:rPr>
            </w:pPr>
            <w:r>
              <w:rPr>
                <w:sz w:val="20"/>
                <w:szCs w:val="20"/>
              </w:rPr>
              <w:t>Operatore economico affidatario</w:t>
            </w:r>
          </w:p>
          <w:p w:rsidR="005845CA" w:rsidRPr="005845CA" w:rsidRDefault="005845CA" w:rsidP="005845CA">
            <w:pPr>
              <w:pStyle w:val="Paragrafoelenco"/>
              <w:numPr>
                <w:ilvl w:val="0"/>
                <w:numId w:val="2"/>
              </w:numPr>
              <w:ind w:left="600" w:hanging="240"/>
              <w:jc w:val="both"/>
              <w:rPr>
                <w:sz w:val="20"/>
                <w:szCs w:val="20"/>
              </w:rPr>
            </w:pPr>
            <w:r>
              <w:rPr>
                <w:sz w:val="20"/>
                <w:szCs w:val="20"/>
              </w:rPr>
              <w:t>Importo impegnato e liquidato</w:t>
            </w:r>
          </w:p>
          <w:p w:rsidR="005845CA" w:rsidRDefault="005845CA" w:rsidP="005845CA">
            <w:pPr>
              <w:pStyle w:val="Paragrafoelenco"/>
              <w:numPr>
                <w:ilvl w:val="0"/>
                <w:numId w:val="1"/>
              </w:numPr>
              <w:ind w:left="305" w:hanging="305"/>
              <w:jc w:val="both"/>
              <w:rPr>
                <w:sz w:val="20"/>
                <w:szCs w:val="20"/>
              </w:rPr>
            </w:pPr>
            <w:r>
              <w:rPr>
                <w:sz w:val="20"/>
                <w:szCs w:val="20"/>
              </w:rPr>
              <w:t>Pubblicazione del registro sul sito web istituzionale dell’Ente nella sezione “Amministrazione Trasparente”</w:t>
            </w:r>
          </w:p>
          <w:p w:rsidR="005845CA" w:rsidRDefault="005845CA" w:rsidP="005845CA">
            <w:pPr>
              <w:pStyle w:val="Paragrafoelenco"/>
              <w:numPr>
                <w:ilvl w:val="0"/>
                <w:numId w:val="1"/>
              </w:numPr>
              <w:ind w:left="305" w:hanging="305"/>
              <w:jc w:val="both"/>
              <w:rPr>
                <w:sz w:val="20"/>
                <w:szCs w:val="20"/>
              </w:rPr>
            </w:pPr>
            <w:r>
              <w:rPr>
                <w:sz w:val="20"/>
                <w:szCs w:val="20"/>
              </w:rPr>
              <w:t>Rep</w:t>
            </w:r>
            <w:r w:rsidR="00E1687F">
              <w:rPr>
                <w:sz w:val="20"/>
                <w:szCs w:val="20"/>
              </w:rPr>
              <w:t xml:space="preserve">ort semestrale da trasmettersi </w:t>
            </w:r>
            <w:r>
              <w:rPr>
                <w:sz w:val="20"/>
                <w:szCs w:val="20"/>
              </w:rPr>
              <w:t xml:space="preserve">a cura del Dirigente al Responsabile </w:t>
            </w:r>
            <w:r w:rsidR="00E1687F">
              <w:rPr>
                <w:sz w:val="20"/>
                <w:szCs w:val="20"/>
              </w:rPr>
              <w:t>con indicazione:</w:t>
            </w:r>
          </w:p>
          <w:p w:rsidR="00E1687F" w:rsidRDefault="00E1687F" w:rsidP="00E1687F">
            <w:pPr>
              <w:pStyle w:val="Paragrafoelenco"/>
              <w:numPr>
                <w:ilvl w:val="1"/>
                <w:numId w:val="1"/>
              </w:numPr>
              <w:ind w:left="600" w:hanging="283"/>
              <w:jc w:val="both"/>
              <w:rPr>
                <w:sz w:val="20"/>
                <w:szCs w:val="20"/>
              </w:rPr>
            </w:pPr>
            <w:r>
              <w:rPr>
                <w:sz w:val="20"/>
                <w:szCs w:val="20"/>
              </w:rPr>
              <w:t>Numero delle somme urgenze/appalti effettuati</w:t>
            </w:r>
          </w:p>
          <w:p w:rsidR="005845CA" w:rsidRPr="00E1687F" w:rsidRDefault="00E1687F" w:rsidP="005845CA">
            <w:pPr>
              <w:pStyle w:val="Paragrafoelenco"/>
              <w:numPr>
                <w:ilvl w:val="1"/>
                <w:numId w:val="1"/>
              </w:numPr>
              <w:ind w:left="600" w:hanging="283"/>
              <w:jc w:val="both"/>
              <w:rPr>
                <w:sz w:val="20"/>
                <w:szCs w:val="20"/>
              </w:rPr>
            </w:pPr>
            <w:r>
              <w:rPr>
                <w:sz w:val="20"/>
                <w:szCs w:val="20"/>
              </w:rPr>
              <w:t>Somme spese/stanziamenti assegnati</w:t>
            </w:r>
          </w:p>
        </w:tc>
      </w:tr>
      <w:tr w:rsidR="006A5FCE" w:rsidTr="005845CA">
        <w:tc>
          <w:tcPr>
            <w:tcW w:w="3652" w:type="dxa"/>
          </w:tcPr>
          <w:p w:rsidR="006A5FCE" w:rsidRPr="005845CA" w:rsidRDefault="00E1687F" w:rsidP="005845CA">
            <w:pPr>
              <w:jc w:val="both"/>
              <w:rPr>
                <w:sz w:val="20"/>
                <w:szCs w:val="20"/>
              </w:rPr>
            </w:pPr>
            <w:r>
              <w:rPr>
                <w:sz w:val="20"/>
                <w:szCs w:val="20"/>
              </w:rPr>
              <w:t>Affidamenti diretti (ex art. 56 e 125 del d.lgs. 163/2006)</w:t>
            </w:r>
          </w:p>
        </w:tc>
        <w:tc>
          <w:tcPr>
            <w:tcW w:w="2552" w:type="dxa"/>
          </w:tcPr>
          <w:p w:rsidR="006A5FCE" w:rsidRPr="005845CA" w:rsidRDefault="00E1687F" w:rsidP="005845CA">
            <w:pPr>
              <w:jc w:val="center"/>
              <w:rPr>
                <w:sz w:val="20"/>
                <w:szCs w:val="20"/>
              </w:rPr>
            </w:pPr>
            <w:r>
              <w:rPr>
                <w:sz w:val="20"/>
                <w:szCs w:val="20"/>
              </w:rPr>
              <w:t>Alto</w:t>
            </w:r>
          </w:p>
        </w:tc>
        <w:tc>
          <w:tcPr>
            <w:tcW w:w="8223" w:type="dxa"/>
          </w:tcPr>
          <w:p w:rsidR="006A5FCE" w:rsidRDefault="00E1687F" w:rsidP="00E1687F">
            <w:pPr>
              <w:pStyle w:val="Paragrafoelenco"/>
              <w:numPr>
                <w:ilvl w:val="0"/>
                <w:numId w:val="3"/>
              </w:numPr>
              <w:ind w:left="317" w:hanging="284"/>
              <w:jc w:val="both"/>
              <w:rPr>
                <w:sz w:val="20"/>
                <w:szCs w:val="20"/>
              </w:rPr>
            </w:pPr>
            <w:r>
              <w:rPr>
                <w:sz w:val="20"/>
                <w:szCs w:val="20"/>
              </w:rPr>
              <w:t>Pubblicazione sul sito istituzionale nella sezione “Amministrazione Trasparente” delle seguenti informazioni per ciascun atto di affidamento diretto di valore superiore a € 1.000,00:</w:t>
            </w:r>
          </w:p>
          <w:p w:rsidR="00E1687F" w:rsidRDefault="00E1687F" w:rsidP="00E1687F">
            <w:pPr>
              <w:pStyle w:val="Paragrafoelenco"/>
              <w:numPr>
                <w:ilvl w:val="1"/>
                <w:numId w:val="3"/>
              </w:numPr>
              <w:ind w:left="600" w:hanging="283"/>
              <w:jc w:val="both"/>
              <w:rPr>
                <w:sz w:val="20"/>
                <w:szCs w:val="20"/>
              </w:rPr>
            </w:pPr>
            <w:r>
              <w:rPr>
                <w:sz w:val="20"/>
                <w:szCs w:val="20"/>
              </w:rPr>
              <w:t>Nome dell’impresa/ente/altro beneficiario e rispettivi dati</w:t>
            </w:r>
            <w:r w:rsidR="00BF1AF6">
              <w:rPr>
                <w:sz w:val="20"/>
                <w:szCs w:val="20"/>
              </w:rPr>
              <w:t xml:space="preserve">/codice </w:t>
            </w:r>
            <w:r>
              <w:rPr>
                <w:sz w:val="20"/>
                <w:szCs w:val="20"/>
              </w:rPr>
              <w:t xml:space="preserve">fiscali </w:t>
            </w:r>
          </w:p>
          <w:p w:rsidR="00BF1AF6" w:rsidRDefault="00BF1AF6" w:rsidP="00E1687F">
            <w:pPr>
              <w:pStyle w:val="Paragrafoelenco"/>
              <w:numPr>
                <w:ilvl w:val="1"/>
                <w:numId w:val="3"/>
              </w:numPr>
              <w:ind w:left="600" w:hanging="283"/>
              <w:jc w:val="both"/>
              <w:rPr>
                <w:sz w:val="20"/>
                <w:szCs w:val="20"/>
              </w:rPr>
            </w:pPr>
            <w:r>
              <w:rPr>
                <w:sz w:val="20"/>
                <w:szCs w:val="20"/>
              </w:rPr>
              <w:t>Importo del vantaggio economico corrisposto</w:t>
            </w:r>
          </w:p>
          <w:p w:rsidR="00BF1AF6" w:rsidRDefault="00BF1AF6" w:rsidP="00E1687F">
            <w:pPr>
              <w:pStyle w:val="Paragrafoelenco"/>
              <w:numPr>
                <w:ilvl w:val="1"/>
                <w:numId w:val="3"/>
              </w:numPr>
              <w:ind w:left="600" w:hanging="283"/>
              <w:jc w:val="both"/>
              <w:rPr>
                <w:sz w:val="20"/>
                <w:szCs w:val="20"/>
              </w:rPr>
            </w:pPr>
            <w:r>
              <w:rPr>
                <w:sz w:val="20"/>
                <w:szCs w:val="20"/>
              </w:rPr>
              <w:t>Norma o titolo a base dell’attribuzione</w:t>
            </w:r>
          </w:p>
          <w:p w:rsidR="00BF1AF6" w:rsidRDefault="00BF1AF6" w:rsidP="00E1687F">
            <w:pPr>
              <w:pStyle w:val="Paragrafoelenco"/>
              <w:numPr>
                <w:ilvl w:val="1"/>
                <w:numId w:val="3"/>
              </w:numPr>
              <w:ind w:left="600" w:hanging="283"/>
              <w:jc w:val="both"/>
              <w:rPr>
                <w:sz w:val="20"/>
                <w:szCs w:val="20"/>
              </w:rPr>
            </w:pPr>
            <w:r>
              <w:rPr>
                <w:sz w:val="20"/>
                <w:szCs w:val="20"/>
              </w:rPr>
              <w:t xml:space="preserve">Ufficio e funzionario/dirigente responsabile del procedimento </w:t>
            </w:r>
          </w:p>
          <w:p w:rsidR="00BF1AF6" w:rsidRDefault="00BF1AF6" w:rsidP="00E1687F">
            <w:pPr>
              <w:pStyle w:val="Paragrafoelenco"/>
              <w:numPr>
                <w:ilvl w:val="1"/>
                <w:numId w:val="3"/>
              </w:numPr>
              <w:ind w:left="600" w:hanging="283"/>
              <w:jc w:val="both"/>
              <w:rPr>
                <w:sz w:val="20"/>
                <w:szCs w:val="20"/>
              </w:rPr>
            </w:pPr>
            <w:r>
              <w:rPr>
                <w:sz w:val="20"/>
                <w:szCs w:val="20"/>
              </w:rPr>
              <w:t>Modalità di scelta del beneficiario</w:t>
            </w:r>
          </w:p>
          <w:p w:rsidR="00BF1AF6" w:rsidRDefault="00BF1AF6" w:rsidP="00E1687F">
            <w:pPr>
              <w:pStyle w:val="Paragrafoelenco"/>
              <w:numPr>
                <w:ilvl w:val="1"/>
                <w:numId w:val="3"/>
              </w:numPr>
              <w:ind w:left="600" w:hanging="283"/>
              <w:jc w:val="both"/>
              <w:rPr>
                <w:sz w:val="20"/>
                <w:szCs w:val="20"/>
              </w:rPr>
            </w:pPr>
            <w:r>
              <w:rPr>
                <w:sz w:val="20"/>
                <w:szCs w:val="20"/>
              </w:rPr>
              <w:t>Link al progetto selezionato e al curriculum del soggetto incaricato (art. 27, comma 1, d.lgs. n. 33/2013)</w:t>
            </w:r>
          </w:p>
          <w:p w:rsidR="00E1687F" w:rsidRDefault="00E1687F" w:rsidP="00E1687F">
            <w:pPr>
              <w:pStyle w:val="Paragrafoelenco"/>
              <w:numPr>
                <w:ilvl w:val="0"/>
                <w:numId w:val="3"/>
              </w:numPr>
              <w:ind w:left="317" w:hanging="284"/>
              <w:jc w:val="both"/>
              <w:rPr>
                <w:sz w:val="20"/>
                <w:szCs w:val="20"/>
              </w:rPr>
            </w:pPr>
            <w:r>
              <w:rPr>
                <w:sz w:val="20"/>
                <w:szCs w:val="20"/>
              </w:rPr>
              <w:t>Report</w:t>
            </w:r>
            <w:r w:rsidR="00BF1AF6">
              <w:rPr>
                <w:sz w:val="20"/>
                <w:szCs w:val="20"/>
              </w:rPr>
              <w:t xml:space="preserve"> semestrale da trasmettersi a cura del Dirigente al Responsabile con indicazione:</w:t>
            </w:r>
          </w:p>
          <w:p w:rsidR="00BF1AF6" w:rsidRDefault="00BF1AF6" w:rsidP="00BF1AF6">
            <w:pPr>
              <w:pStyle w:val="Paragrafoelenco"/>
              <w:numPr>
                <w:ilvl w:val="1"/>
                <w:numId w:val="3"/>
              </w:numPr>
              <w:ind w:left="600" w:hanging="283"/>
              <w:jc w:val="both"/>
              <w:rPr>
                <w:sz w:val="20"/>
                <w:szCs w:val="20"/>
              </w:rPr>
            </w:pPr>
            <w:r>
              <w:rPr>
                <w:sz w:val="20"/>
                <w:szCs w:val="20"/>
              </w:rPr>
              <w:t>Numero di affidamenti diretti/appalti effettuati</w:t>
            </w:r>
          </w:p>
          <w:p w:rsidR="00BF1AF6" w:rsidRPr="00E1687F" w:rsidRDefault="00BF1AF6" w:rsidP="00BF1AF6">
            <w:pPr>
              <w:pStyle w:val="Paragrafoelenco"/>
              <w:numPr>
                <w:ilvl w:val="1"/>
                <w:numId w:val="3"/>
              </w:numPr>
              <w:ind w:left="600" w:hanging="283"/>
              <w:jc w:val="both"/>
              <w:rPr>
                <w:sz w:val="20"/>
                <w:szCs w:val="20"/>
              </w:rPr>
            </w:pPr>
            <w:r>
              <w:rPr>
                <w:sz w:val="20"/>
                <w:szCs w:val="20"/>
              </w:rPr>
              <w:t>Somme spese/stanziamenti assegnati</w:t>
            </w:r>
          </w:p>
        </w:tc>
      </w:tr>
      <w:tr w:rsidR="006A5FCE" w:rsidTr="005845CA">
        <w:tc>
          <w:tcPr>
            <w:tcW w:w="3652" w:type="dxa"/>
          </w:tcPr>
          <w:p w:rsidR="006A5FCE" w:rsidRPr="005845CA" w:rsidRDefault="00BF1AF6" w:rsidP="005845CA">
            <w:pPr>
              <w:jc w:val="both"/>
              <w:rPr>
                <w:sz w:val="20"/>
                <w:szCs w:val="20"/>
              </w:rPr>
            </w:pPr>
            <w:r>
              <w:rPr>
                <w:sz w:val="20"/>
                <w:szCs w:val="20"/>
              </w:rPr>
              <w:t>Opere pubbliche</w:t>
            </w:r>
          </w:p>
        </w:tc>
        <w:tc>
          <w:tcPr>
            <w:tcW w:w="2552" w:type="dxa"/>
          </w:tcPr>
          <w:p w:rsidR="006A5FCE" w:rsidRPr="005845CA" w:rsidRDefault="00BF1AF6" w:rsidP="005845CA">
            <w:pPr>
              <w:jc w:val="center"/>
              <w:rPr>
                <w:sz w:val="20"/>
                <w:szCs w:val="20"/>
              </w:rPr>
            </w:pPr>
            <w:r>
              <w:rPr>
                <w:sz w:val="20"/>
                <w:szCs w:val="20"/>
              </w:rPr>
              <w:t>Medio</w:t>
            </w:r>
          </w:p>
        </w:tc>
        <w:tc>
          <w:tcPr>
            <w:tcW w:w="8223" w:type="dxa"/>
          </w:tcPr>
          <w:p w:rsidR="006A5FCE" w:rsidRDefault="00BF1AF6" w:rsidP="00BF1AF6">
            <w:pPr>
              <w:jc w:val="both"/>
              <w:rPr>
                <w:sz w:val="20"/>
                <w:szCs w:val="20"/>
              </w:rPr>
            </w:pPr>
            <w:r>
              <w:rPr>
                <w:sz w:val="20"/>
                <w:szCs w:val="20"/>
              </w:rPr>
              <w:t>Scheda relative alle opere pubbliche di valore superiore a € 40.000,00 da pubblicarsi sul sito istituzionale e da aggiornarsi periodicamente, recante le seguenti informazioni:</w:t>
            </w:r>
          </w:p>
          <w:p w:rsidR="00BF1AF6" w:rsidRDefault="00BF1AF6" w:rsidP="00BF1AF6">
            <w:pPr>
              <w:pStyle w:val="Paragrafoelenco"/>
              <w:numPr>
                <w:ilvl w:val="0"/>
                <w:numId w:val="4"/>
              </w:numPr>
              <w:ind w:left="317" w:hanging="284"/>
              <w:jc w:val="both"/>
              <w:rPr>
                <w:sz w:val="20"/>
                <w:szCs w:val="20"/>
              </w:rPr>
            </w:pPr>
            <w:r>
              <w:rPr>
                <w:sz w:val="20"/>
                <w:szCs w:val="20"/>
              </w:rPr>
              <w:t>Progettista dell’opera e Direttore dei lavori</w:t>
            </w:r>
          </w:p>
          <w:p w:rsidR="00BF1AF6" w:rsidRDefault="00BF1AF6" w:rsidP="00BF1AF6">
            <w:pPr>
              <w:pStyle w:val="Paragrafoelenco"/>
              <w:numPr>
                <w:ilvl w:val="0"/>
                <w:numId w:val="4"/>
              </w:numPr>
              <w:ind w:left="317" w:hanging="284"/>
              <w:jc w:val="both"/>
              <w:rPr>
                <w:sz w:val="20"/>
                <w:szCs w:val="20"/>
              </w:rPr>
            </w:pPr>
            <w:r>
              <w:rPr>
                <w:sz w:val="20"/>
                <w:szCs w:val="20"/>
              </w:rPr>
              <w:t>Fonte di finanziamento</w:t>
            </w:r>
          </w:p>
          <w:p w:rsidR="00BF1AF6" w:rsidRDefault="00BF1AF6" w:rsidP="00BF1AF6">
            <w:pPr>
              <w:pStyle w:val="Paragrafoelenco"/>
              <w:numPr>
                <w:ilvl w:val="0"/>
                <w:numId w:val="4"/>
              </w:numPr>
              <w:ind w:left="317" w:hanging="284"/>
              <w:jc w:val="both"/>
              <w:rPr>
                <w:sz w:val="20"/>
                <w:szCs w:val="20"/>
              </w:rPr>
            </w:pPr>
            <w:r>
              <w:rPr>
                <w:sz w:val="20"/>
                <w:szCs w:val="20"/>
              </w:rPr>
              <w:t>Importo dei lavori aggiudicati e data di aggiudicazione</w:t>
            </w:r>
          </w:p>
          <w:p w:rsidR="00BF1AF6" w:rsidRDefault="00BF1AF6" w:rsidP="00BF1AF6">
            <w:pPr>
              <w:pStyle w:val="Paragrafoelenco"/>
              <w:numPr>
                <w:ilvl w:val="0"/>
                <w:numId w:val="4"/>
              </w:numPr>
              <w:ind w:left="317" w:hanging="284"/>
              <w:jc w:val="both"/>
              <w:rPr>
                <w:sz w:val="20"/>
                <w:szCs w:val="20"/>
              </w:rPr>
            </w:pPr>
            <w:r>
              <w:rPr>
                <w:sz w:val="20"/>
                <w:szCs w:val="20"/>
              </w:rPr>
              <w:t>Ditta aggiudicataria</w:t>
            </w:r>
          </w:p>
          <w:p w:rsidR="00BF1AF6" w:rsidRDefault="00BF1AF6" w:rsidP="00BF1AF6">
            <w:pPr>
              <w:pStyle w:val="Paragrafoelenco"/>
              <w:numPr>
                <w:ilvl w:val="0"/>
                <w:numId w:val="4"/>
              </w:numPr>
              <w:ind w:left="317" w:hanging="284"/>
              <w:jc w:val="both"/>
              <w:rPr>
                <w:sz w:val="20"/>
                <w:szCs w:val="20"/>
              </w:rPr>
            </w:pPr>
            <w:r>
              <w:rPr>
                <w:sz w:val="20"/>
                <w:szCs w:val="20"/>
              </w:rPr>
              <w:t>Inizio lavori</w:t>
            </w:r>
          </w:p>
          <w:p w:rsidR="00BF1AF6" w:rsidRDefault="00BF1AF6" w:rsidP="00BF1AF6">
            <w:pPr>
              <w:pStyle w:val="Paragrafoelenco"/>
              <w:numPr>
                <w:ilvl w:val="0"/>
                <w:numId w:val="4"/>
              </w:numPr>
              <w:ind w:left="317" w:hanging="284"/>
              <w:jc w:val="both"/>
              <w:rPr>
                <w:sz w:val="20"/>
                <w:szCs w:val="20"/>
              </w:rPr>
            </w:pPr>
            <w:r>
              <w:rPr>
                <w:sz w:val="20"/>
                <w:szCs w:val="20"/>
              </w:rPr>
              <w:t>Eventuali varianti e relativo importo</w:t>
            </w:r>
          </w:p>
          <w:p w:rsidR="00C61A37" w:rsidRDefault="00C61A37" w:rsidP="00BF1AF6">
            <w:pPr>
              <w:pStyle w:val="Paragrafoelenco"/>
              <w:numPr>
                <w:ilvl w:val="0"/>
                <w:numId w:val="4"/>
              </w:numPr>
              <w:ind w:left="317" w:hanging="284"/>
              <w:jc w:val="both"/>
              <w:rPr>
                <w:sz w:val="20"/>
                <w:szCs w:val="20"/>
              </w:rPr>
            </w:pPr>
            <w:r>
              <w:rPr>
                <w:sz w:val="20"/>
                <w:szCs w:val="20"/>
              </w:rPr>
              <w:t>Comunicazione all’ANAC ex art. 37 della L. 89/2014</w:t>
            </w:r>
          </w:p>
          <w:p w:rsidR="00BF1AF6" w:rsidRDefault="00BF1AF6" w:rsidP="00BF1AF6">
            <w:pPr>
              <w:pStyle w:val="Paragrafoelenco"/>
              <w:numPr>
                <w:ilvl w:val="0"/>
                <w:numId w:val="4"/>
              </w:numPr>
              <w:ind w:left="317" w:hanging="284"/>
              <w:jc w:val="both"/>
              <w:rPr>
                <w:sz w:val="20"/>
                <w:szCs w:val="20"/>
              </w:rPr>
            </w:pPr>
            <w:r>
              <w:rPr>
                <w:sz w:val="20"/>
                <w:szCs w:val="20"/>
              </w:rPr>
              <w:t>Data fine lavori collaudo</w:t>
            </w:r>
          </w:p>
          <w:p w:rsidR="00BF1AF6" w:rsidRDefault="00BF1AF6" w:rsidP="00BF1AF6">
            <w:pPr>
              <w:pStyle w:val="Paragrafoelenco"/>
              <w:numPr>
                <w:ilvl w:val="0"/>
                <w:numId w:val="4"/>
              </w:numPr>
              <w:ind w:left="317" w:hanging="284"/>
              <w:jc w:val="both"/>
              <w:rPr>
                <w:sz w:val="20"/>
                <w:szCs w:val="20"/>
              </w:rPr>
            </w:pPr>
            <w:r>
              <w:rPr>
                <w:sz w:val="20"/>
                <w:szCs w:val="20"/>
              </w:rPr>
              <w:t>Eventuali accordi bonari</w:t>
            </w:r>
          </w:p>
          <w:p w:rsidR="00BF1AF6" w:rsidRPr="00C61A37" w:rsidRDefault="00C61A37" w:rsidP="00C61A37">
            <w:pPr>
              <w:pStyle w:val="Paragrafoelenco"/>
              <w:numPr>
                <w:ilvl w:val="0"/>
                <w:numId w:val="4"/>
              </w:numPr>
              <w:ind w:left="317" w:hanging="284"/>
              <w:jc w:val="both"/>
              <w:rPr>
                <w:sz w:val="20"/>
                <w:szCs w:val="20"/>
              </w:rPr>
            </w:pPr>
            <w:r>
              <w:rPr>
                <w:sz w:val="20"/>
                <w:szCs w:val="20"/>
              </w:rPr>
              <w:t>Costo finale dell’opera</w:t>
            </w:r>
          </w:p>
        </w:tc>
      </w:tr>
      <w:tr w:rsidR="009124E9" w:rsidTr="005845CA">
        <w:tc>
          <w:tcPr>
            <w:tcW w:w="3652" w:type="dxa"/>
          </w:tcPr>
          <w:p w:rsidR="009124E9" w:rsidRDefault="009124E9" w:rsidP="005845CA">
            <w:pPr>
              <w:jc w:val="both"/>
              <w:rPr>
                <w:sz w:val="20"/>
                <w:szCs w:val="20"/>
              </w:rPr>
            </w:pPr>
            <w:r>
              <w:rPr>
                <w:sz w:val="20"/>
                <w:szCs w:val="20"/>
              </w:rPr>
              <w:lastRenderedPageBreak/>
              <w:t>Centrale Unica di Committenza (C.U.C.)</w:t>
            </w:r>
          </w:p>
        </w:tc>
        <w:tc>
          <w:tcPr>
            <w:tcW w:w="2552" w:type="dxa"/>
          </w:tcPr>
          <w:p w:rsidR="009124E9" w:rsidRDefault="009124E9" w:rsidP="005845CA">
            <w:pPr>
              <w:jc w:val="center"/>
              <w:rPr>
                <w:sz w:val="20"/>
                <w:szCs w:val="20"/>
              </w:rPr>
            </w:pPr>
            <w:r>
              <w:rPr>
                <w:sz w:val="20"/>
                <w:szCs w:val="20"/>
              </w:rPr>
              <w:t>Medio</w:t>
            </w:r>
          </w:p>
        </w:tc>
        <w:tc>
          <w:tcPr>
            <w:tcW w:w="8223" w:type="dxa"/>
          </w:tcPr>
          <w:p w:rsidR="009124E9" w:rsidRDefault="009124E9" w:rsidP="00FA6621">
            <w:pPr>
              <w:pStyle w:val="Paragrafoelenco"/>
              <w:numPr>
                <w:ilvl w:val="0"/>
                <w:numId w:val="28"/>
              </w:numPr>
              <w:ind w:left="317" w:hanging="284"/>
              <w:jc w:val="both"/>
              <w:rPr>
                <w:sz w:val="20"/>
                <w:szCs w:val="20"/>
              </w:rPr>
            </w:pPr>
            <w:r>
              <w:rPr>
                <w:sz w:val="20"/>
                <w:szCs w:val="20"/>
              </w:rPr>
              <w:t>Le attività dell’Ufficio comune operante come C.U.C. sono svolte nel rispetto delle disposizioni del P.T.C.P. del Comune di Ventimiglia e della legge n. 190/2012</w:t>
            </w:r>
          </w:p>
          <w:p w:rsidR="009124E9" w:rsidRDefault="009124E9" w:rsidP="00FA6621">
            <w:pPr>
              <w:pStyle w:val="Paragrafoelenco"/>
              <w:numPr>
                <w:ilvl w:val="0"/>
                <w:numId w:val="28"/>
              </w:numPr>
              <w:ind w:left="317" w:hanging="284"/>
              <w:jc w:val="both"/>
              <w:rPr>
                <w:sz w:val="20"/>
                <w:szCs w:val="20"/>
              </w:rPr>
            </w:pPr>
            <w:r>
              <w:rPr>
                <w:sz w:val="20"/>
                <w:szCs w:val="20"/>
              </w:rPr>
              <w:t>I Comuni associati possono definire d’intesa specifiche misure per la prevenzione della corruzione, anche in relazione a problematiche e criticità di contesto rilevate, da sottoporre al Responsabile della Prevenzione della Corruzione del Comune di Ventimiglia per l’inserimento nel PTCP</w:t>
            </w:r>
          </w:p>
          <w:p w:rsidR="009124E9" w:rsidRPr="009124E9" w:rsidRDefault="009124E9" w:rsidP="00FA6621">
            <w:pPr>
              <w:pStyle w:val="Paragrafoelenco"/>
              <w:numPr>
                <w:ilvl w:val="0"/>
                <w:numId w:val="28"/>
              </w:numPr>
              <w:ind w:left="317" w:hanging="284"/>
              <w:jc w:val="both"/>
              <w:rPr>
                <w:sz w:val="20"/>
                <w:szCs w:val="20"/>
              </w:rPr>
            </w:pPr>
            <w:r>
              <w:rPr>
                <w:sz w:val="20"/>
                <w:szCs w:val="20"/>
              </w:rPr>
              <w:t xml:space="preserve">In relazione alle attività svolte dai dipendenti dei singoli Comuni associati nelle fasi relative alle acquisizioni di lavori, servizi o beni (in particolare nelle fasi di programmazione, progettazione ed esecuzione) non gestite dall’Ufficio comune, i predetti dipendenti devono rispettare  </w:t>
            </w:r>
            <w:r w:rsidR="00FA6621">
              <w:rPr>
                <w:sz w:val="20"/>
                <w:szCs w:val="20"/>
              </w:rPr>
              <w:t>il PTCP adottato dal proprio Comune</w:t>
            </w:r>
          </w:p>
        </w:tc>
      </w:tr>
      <w:tr w:rsidR="006A5FCE" w:rsidTr="005845CA">
        <w:tc>
          <w:tcPr>
            <w:tcW w:w="3652" w:type="dxa"/>
          </w:tcPr>
          <w:p w:rsidR="006A5FCE" w:rsidRPr="005845CA" w:rsidRDefault="00BF1AF6" w:rsidP="005845CA">
            <w:pPr>
              <w:jc w:val="both"/>
              <w:rPr>
                <w:sz w:val="20"/>
                <w:szCs w:val="20"/>
              </w:rPr>
            </w:pPr>
            <w:r>
              <w:rPr>
                <w:sz w:val="20"/>
                <w:szCs w:val="20"/>
              </w:rPr>
              <w:t>Procedimenti di affidamento di appalti</w:t>
            </w:r>
          </w:p>
        </w:tc>
        <w:tc>
          <w:tcPr>
            <w:tcW w:w="2552" w:type="dxa"/>
          </w:tcPr>
          <w:p w:rsidR="006A5FCE" w:rsidRPr="005845CA" w:rsidRDefault="00BF1AF6" w:rsidP="005845CA">
            <w:pPr>
              <w:jc w:val="center"/>
              <w:rPr>
                <w:sz w:val="20"/>
                <w:szCs w:val="20"/>
              </w:rPr>
            </w:pPr>
            <w:r>
              <w:rPr>
                <w:sz w:val="20"/>
                <w:szCs w:val="20"/>
              </w:rPr>
              <w:t>Medio</w:t>
            </w:r>
          </w:p>
        </w:tc>
        <w:tc>
          <w:tcPr>
            <w:tcW w:w="8223" w:type="dxa"/>
          </w:tcPr>
          <w:p w:rsidR="006A5FCE" w:rsidRPr="005845CA" w:rsidRDefault="00BF1AF6" w:rsidP="005845CA">
            <w:pPr>
              <w:jc w:val="both"/>
              <w:rPr>
                <w:sz w:val="20"/>
                <w:szCs w:val="20"/>
              </w:rPr>
            </w:pPr>
            <w:r>
              <w:rPr>
                <w:sz w:val="20"/>
                <w:szCs w:val="20"/>
              </w:rPr>
              <w:t>Espressa indicazione negli avvisi, bandi di gara o lettere invito</w:t>
            </w:r>
            <w:r w:rsidR="00DD150A">
              <w:rPr>
                <w:sz w:val="20"/>
                <w:szCs w:val="20"/>
              </w:rPr>
              <w:t xml:space="preserve"> che il mancato rispetto delle clausole contenute nei protocolli di leg</w:t>
            </w:r>
            <w:r w:rsidR="00FA6621">
              <w:rPr>
                <w:sz w:val="20"/>
                <w:szCs w:val="20"/>
              </w:rPr>
              <w:t xml:space="preserve">alità o nei patti di integrità </w:t>
            </w:r>
            <w:r w:rsidR="00DD150A">
              <w:rPr>
                <w:sz w:val="20"/>
                <w:szCs w:val="20"/>
              </w:rPr>
              <w:t>costituisce causa di esclusione della gara</w:t>
            </w:r>
          </w:p>
        </w:tc>
      </w:tr>
      <w:tr w:rsidR="006A5FCE" w:rsidTr="005845CA">
        <w:tc>
          <w:tcPr>
            <w:tcW w:w="3652" w:type="dxa"/>
          </w:tcPr>
          <w:p w:rsidR="006A5FCE" w:rsidRPr="005845CA" w:rsidRDefault="00DD150A" w:rsidP="005845CA">
            <w:pPr>
              <w:jc w:val="both"/>
              <w:rPr>
                <w:sz w:val="20"/>
                <w:szCs w:val="20"/>
              </w:rPr>
            </w:pPr>
            <w:r>
              <w:rPr>
                <w:sz w:val="20"/>
                <w:szCs w:val="20"/>
              </w:rPr>
              <w:t>Transazioni, accordi bonari e arbitrati</w:t>
            </w:r>
          </w:p>
        </w:tc>
        <w:tc>
          <w:tcPr>
            <w:tcW w:w="2552" w:type="dxa"/>
          </w:tcPr>
          <w:p w:rsidR="006A5FCE" w:rsidRPr="005845CA" w:rsidRDefault="00DD150A" w:rsidP="00FF209A">
            <w:pPr>
              <w:tabs>
                <w:tab w:val="center" w:pos="1168"/>
              </w:tabs>
              <w:jc w:val="center"/>
              <w:rPr>
                <w:sz w:val="20"/>
                <w:szCs w:val="20"/>
              </w:rPr>
            </w:pPr>
            <w:r>
              <w:rPr>
                <w:sz w:val="20"/>
                <w:szCs w:val="20"/>
              </w:rPr>
              <w:t>Alto</w:t>
            </w:r>
          </w:p>
        </w:tc>
        <w:tc>
          <w:tcPr>
            <w:tcW w:w="8223" w:type="dxa"/>
          </w:tcPr>
          <w:p w:rsidR="006A5FCE" w:rsidRDefault="00DD150A" w:rsidP="005845CA">
            <w:pPr>
              <w:jc w:val="both"/>
              <w:rPr>
                <w:sz w:val="20"/>
                <w:szCs w:val="20"/>
              </w:rPr>
            </w:pPr>
            <w:r>
              <w:rPr>
                <w:sz w:val="20"/>
                <w:szCs w:val="20"/>
              </w:rPr>
              <w:t>Elenco, da pubblicarsi sul sito istituzionale dell’ente, delle transazioni, degli accordi bonari e degli arbitrati di cui agli artt. 239, 240 e 241 del d.lgs. 163/2006, recante le seguenti informazioni:</w:t>
            </w:r>
          </w:p>
          <w:p w:rsidR="00DD150A" w:rsidRDefault="00DD150A" w:rsidP="00DD150A">
            <w:pPr>
              <w:pStyle w:val="Paragrafoelenco"/>
              <w:numPr>
                <w:ilvl w:val="0"/>
                <w:numId w:val="5"/>
              </w:numPr>
              <w:ind w:left="317" w:hanging="317"/>
              <w:jc w:val="both"/>
              <w:rPr>
                <w:sz w:val="20"/>
                <w:szCs w:val="20"/>
              </w:rPr>
            </w:pPr>
            <w:r>
              <w:rPr>
                <w:sz w:val="20"/>
                <w:szCs w:val="20"/>
              </w:rPr>
              <w:t>Oggetto</w:t>
            </w:r>
          </w:p>
          <w:p w:rsidR="00DD150A" w:rsidRDefault="00DD150A" w:rsidP="00DD150A">
            <w:pPr>
              <w:pStyle w:val="Paragrafoelenco"/>
              <w:numPr>
                <w:ilvl w:val="0"/>
                <w:numId w:val="5"/>
              </w:numPr>
              <w:ind w:left="317" w:hanging="317"/>
              <w:jc w:val="both"/>
              <w:rPr>
                <w:sz w:val="20"/>
                <w:szCs w:val="20"/>
              </w:rPr>
            </w:pPr>
            <w:r>
              <w:rPr>
                <w:sz w:val="20"/>
                <w:szCs w:val="20"/>
              </w:rPr>
              <w:t>Importo</w:t>
            </w:r>
          </w:p>
          <w:p w:rsidR="00DD150A" w:rsidRDefault="00DD150A" w:rsidP="00DD150A">
            <w:pPr>
              <w:pStyle w:val="Paragrafoelenco"/>
              <w:numPr>
                <w:ilvl w:val="0"/>
                <w:numId w:val="5"/>
              </w:numPr>
              <w:ind w:left="317" w:hanging="317"/>
              <w:jc w:val="both"/>
              <w:rPr>
                <w:sz w:val="20"/>
                <w:szCs w:val="20"/>
              </w:rPr>
            </w:pPr>
            <w:r>
              <w:rPr>
                <w:sz w:val="20"/>
                <w:szCs w:val="20"/>
              </w:rPr>
              <w:t>Soggetto beneficiario</w:t>
            </w:r>
          </w:p>
          <w:p w:rsidR="00DD150A" w:rsidRDefault="00DD150A" w:rsidP="00DD150A">
            <w:pPr>
              <w:pStyle w:val="Paragrafoelenco"/>
              <w:numPr>
                <w:ilvl w:val="0"/>
                <w:numId w:val="5"/>
              </w:numPr>
              <w:ind w:left="317" w:hanging="317"/>
              <w:jc w:val="both"/>
              <w:rPr>
                <w:sz w:val="20"/>
                <w:szCs w:val="20"/>
              </w:rPr>
            </w:pPr>
            <w:r>
              <w:rPr>
                <w:sz w:val="20"/>
                <w:szCs w:val="20"/>
              </w:rPr>
              <w:t>Responsabile del procedimento</w:t>
            </w:r>
          </w:p>
          <w:p w:rsidR="00DD150A" w:rsidRPr="00DD150A" w:rsidRDefault="00DD150A" w:rsidP="00DD150A">
            <w:pPr>
              <w:pStyle w:val="Paragrafoelenco"/>
              <w:numPr>
                <w:ilvl w:val="0"/>
                <w:numId w:val="5"/>
              </w:numPr>
              <w:ind w:left="317" w:hanging="317"/>
              <w:jc w:val="both"/>
              <w:rPr>
                <w:sz w:val="20"/>
                <w:szCs w:val="20"/>
              </w:rPr>
            </w:pPr>
            <w:r>
              <w:rPr>
                <w:sz w:val="20"/>
                <w:szCs w:val="20"/>
              </w:rPr>
              <w:t>Estremi del provvedimento di definizione del procedimento</w:t>
            </w:r>
          </w:p>
        </w:tc>
      </w:tr>
      <w:tr w:rsidR="00C438D5" w:rsidTr="00AE0D10">
        <w:tc>
          <w:tcPr>
            <w:tcW w:w="14427" w:type="dxa"/>
            <w:gridSpan w:val="3"/>
          </w:tcPr>
          <w:p w:rsidR="00C438D5" w:rsidRDefault="00C438D5" w:rsidP="00C438D5">
            <w:pPr>
              <w:rPr>
                <w:sz w:val="20"/>
                <w:szCs w:val="20"/>
              </w:rPr>
            </w:pPr>
            <w:r>
              <w:rPr>
                <w:sz w:val="20"/>
                <w:szCs w:val="20"/>
              </w:rPr>
              <w:t>Misure specifiche relative alle procedure di scelta del contraente per l’affidamento di lavori, servizi e  forniture, anche con riferimento alle modalità di selezione prescelta ai sensi del codice dei contratti pubblici di cui al d.lgs. 163/2006.</w:t>
            </w:r>
          </w:p>
          <w:p w:rsidR="00C438D5" w:rsidRDefault="00C438D5" w:rsidP="00C438D5">
            <w:pPr>
              <w:rPr>
                <w:sz w:val="20"/>
                <w:szCs w:val="20"/>
              </w:rPr>
            </w:pPr>
          </w:p>
          <w:p w:rsidR="00D05296" w:rsidRPr="00BC1504" w:rsidRDefault="00C438D5" w:rsidP="00BC1504">
            <w:pPr>
              <w:pStyle w:val="Paragrafoelenco"/>
              <w:numPr>
                <w:ilvl w:val="0"/>
                <w:numId w:val="6"/>
              </w:numPr>
              <w:rPr>
                <w:i/>
                <w:sz w:val="20"/>
                <w:szCs w:val="20"/>
              </w:rPr>
            </w:pPr>
            <w:r w:rsidRPr="00511AE2">
              <w:rPr>
                <w:i/>
                <w:sz w:val="20"/>
                <w:szCs w:val="20"/>
              </w:rPr>
              <w:t>Le procedure di scelta del Contraente</w:t>
            </w:r>
          </w:p>
          <w:p w:rsidR="00C438D5" w:rsidRDefault="00C438D5" w:rsidP="00D05296">
            <w:pPr>
              <w:pStyle w:val="Paragrafoelenco"/>
              <w:numPr>
                <w:ilvl w:val="0"/>
                <w:numId w:val="25"/>
              </w:numPr>
              <w:jc w:val="both"/>
              <w:rPr>
                <w:sz w:val="20"/>
                <w:szCs w:val="20"/>
              </w:rPr>
            </w:pPr>
            <w:r>
              <w:rPr>
                <w:sz w:val="20"/>
                <w:szCs w:val="20"/>
              </w:rPr>
              <w:t>Il D.L. 6.07.2012 n. 95 “Disposizioni urgenti per la revisione della spesa pubblica con inva</w:t>
            </w:r>
            <w:r w:rsidR="00482751">
              <w:rPr>
                <w:sz w:val="20"/>
                <w:szCs w:val="20"/>
              </w:rPr>
              <w:t xml:space="preserve">rianza dei servizi ai cittadini” cd. </w:t>
            </w:r>
            <w:r w:rsidR="00482751" w:rsidRPr="00482751">
              <w:rPr>
                <w:i/>
                <w:sz w:val="20"/>
                <w:szCs w:val="20"/>
              </w:rPr>
              <w:t>“</w:t>
            </w:r>
            <w:proofErr w:type="spellStart"/>
            <w:r w:rsidR="00482751" w:rsidRPr="00482751">
              <w:rPr>
                <w:i/>
                <w:sz w:val="20"/>
                <w:szCs w:val="20"/>
              </w:rPr>
              <w:t>Spendingreview</w:t>
            </w:r>
            <w:proofErr w:type="spellEnd"/>
            <w:r w:rsidR="00482751" w:rsidRPr="00482751">
              <w:rPr>
                <w:i/>
                <w:sz w:val="20"/>
                <w:szCs w:val="20"/>
              </w:rPr>
              <w:t>”</w:t>
            </w:r>
            <w:r w:rsidR="00482751">
              <w:rPr>
                <w:sz w:val="20"/>
                <w:szCs w:val="20"/>
              </w:rPr>
              <w:t xml:space="preserve">ha apportato importanti modifiche alle regole vigenti per l’acquisto di beni e servizi da parte di tutte le amministrazioni pubbliche. In primo luogo, l’art. 1, comma1, del predetto decreto impone di rivolgersi agli strumenti di acquisto messi a disposizione da </w:t>
            </w:r>
            <w:proofErr w:type="spellStart"/>
            <w:r w:rsidR="00482751">
              <w:rPr>
                <w:sz w:val="20"/>
                <w:szCs w:val="20"/>
              </w:rPr>
              <w:t>Consip</w:t>
            </w:r>
            <w:proofErr w:type="spellEnd"/>
            <w:r w:rsidR="00482751">
              <w:rPr>
                <w:sz w:val="20"/>
                <w:szCs w:val="20"/>
              </w:rPr>
              <w:t xml:space="preserve"> Spa, pena la nullità dei contratti stipulati ed il conseguente illecito disciplinare e la responsabilità amministrativa da parte del funzionario che ha effettuato l’acquisto. </w:t>
            </w:r>
            <w:r w:rsidR="00E03F73">
              <w:rPr>
                <w:sz w:val="20"/>
                <w:szCs w:val="20"/>
              </w:rPr>
              <w:t xml:space="preserve">Il </w:t>
            </w:r>
            <w:r w:rsidR="00C7753C">
              <w:rPr>
                <w:sz w:val="20"/>
                <w:szCs w:val="20"/>
              </w:rPr>
              <w:t>c</w:t>
            </w:r>
            <w:r w:rsidR="00E03F73">
              <w:rPr>
                <w:sz w:val="20"/>
                <w:szCs w:val="20"/>
              </w:rPr>
              <w:t>omma 3 del predetto articolo specifica che solo qualora la convenzione per il bene o il servizio specifico non sia ancora disponibile, in caso di motivata urgenza, “gli enti sono autorizzati allo svolgimento di autonome procedure di acquisto dirette alla stipula di contratti aventi durata e misura str</w:t>
            </w:r>
            <w:r w:rsidR="00413F54">
              <w:rPr>
                <w:sz w:val="20"/>
                <w:szCs w:val="20"/>
              </w:rPr>
              <w:t>e</w:t>
            </w:r>
            <w:r w:rsidR="00E03F73">
              <w:rPr>
                <w:sz w:val="20"/>
                <w:szCs w:val="20"/>
              </w:rPr>
              <w:t>ttamente necessaria e sottoposti a condizione risolutiva nel caso di disponibilità della detta convenzione”.</w:t>
            </w:r>
          </w:p>
          <w:p w:rsidR="00E03F73" w:rsidRDefault="00E03F73" w:rsidP="00D05296">
            <w:pPr>
              <w:pStyle w:val="Paragrafoelenco"/>
              <w:numPr>
                <w:ilvl w:val="0"/>
                <w:numId w:val="25"/>
              </w:numPr>
              <w:jc w:val="both"/>
              <w:rPr>
                <w:sz w:val="20"/>
                <w:szCs w:val="20"/>
              </w:rPr>
            </w:pPr>
            <w:r>
              <w:rPr>
                <w:sz w:val="20"/>
                <w:szCs w:val="20"/>
              </w:rPr>
              <w:t xml:space="preserve">Appare evidente ribadire che, per i lavori pubblici o in tutti i casi in cui non siano disponibili le convenzioni </w:t>
            </w:r>
            <w:proofErr w:type="spellStart"/>
            <w:r>
              <w:rPr>
                <w:sz w:val="20"/>
                <w:szCs w:val="20"/>
              </w:rPr>
              <w:t>Consip</w:t>
            </w:r>
            <w:proofErr w:type="spellEnd"/>
            <w:r>
              <w:rPr>
                <w:sz w:val="20"/>
                <w:szCs w:val="20"/>
              </w:rPr>
              <w:t xml:space="preserve"> Spa, occorre effettuare comunque procedure di confronto competitivo tra più operatori, salvo per i minimi importi o in casi di assoluta urgenza.</w:t>
            </w:r>
          </w:p>
          <w:p w:rsidR="00E03F73" w:rsidRDefault="00E03F73" w:rsidP="00D05296">
            <w:pPr>
              <w:pStyle w:val="Paragrafoelenco"/>
              <w:numPr>
                <w:ilvl w:val="0"/>
                <w:numId w:val="25"/>
              </w:numPr>
              <w:jc w:val="both"/>
              <w:rPr>
                <w:sz w:val="20"/>
                <w:szCs w:val="20"/>
              </w:rPr>
            </w:pPr>
            <w:r>
              <w:rPr>
                <w:sz w:val="20"/>
                <w:szCs w:val="20"/>
              </w:rPr>
              <w:t>I principi di trasparenza, rotazione, parità</w:t>
            </w:r>
            <w:r w:rsidR="00C7753C">
              <w:rPr>
                <w:sz w:val="20"/>
                <w:szCs w:val="20"/>
              </w:rPr>
              <w:t xml:space="preserve"> di trattamento ed adeguata pubblicità costituiscono principi generali del sistema dell’evidenza pubblica, per cui la loro applicazione trascende le singole tipologie di evidenza pubblica e si impone in forza dei valori comunitari e nazionali di riferimento (cfr.art.2, 27, 30 e 125 del codice dei contratti pubblici).In particolare i principi di rotazione, di non discriminazione e di parità di trattamento non impediscono il ricorso ad indagini di mercato ai fini di individuare potenziali affidatari fra cui effettuare gli affidamenti senza gara, in quanto sotto soglia, siano essi diretti che negoziati.</w:t>
            </w:r>
          </w:p>
          <w:p w:rsidR="00FA6621" w:rsidRDefault="00FA6621" w:rsidP="00D05296">
            <w:pPr>
              <w:pStyle w:val="Paragrafoelenco"/>
              <w:numPr>
                <w:ilvl w:val="0"/>
                <w:numId w:val="25"/>
              </w:numPr>
              <w:jc w:val="both"/>
              <w:rPr>
                <w:sz w:val="20"/>
                <w:szCs w:val="20"/>
              </w:rPr>
            </w:pPr>
            <w:r>
              <w:rPr>
                <w:sz w:val="20"/>
                <w:szCs w:val="20"/>
              </w:rPr>
              <w:t>Le procedure selettive sono obbligatorie, ex art. 1, comma 610, L. 190/2014  anche per l’affidamento di servizi a Cooperative sociali;</w:t>
            </w:r>
          </w:p>
          <w:p w:rsidR="00511AE2" w:rsidRDefault="00511AE2" w:rsidP="00D05296">
            <w:pPr>
              <w:pStyle w:val="Paragrafoelenco"/>
              <w:numPr>
                <w:ilvl w:val="0"/>
                <w:numId w:val="25"/>
              </w:numPr>
              <w:jc w:val="both"/>
              <w:rPr>
                <w:sz w:val="20"/>
                <w:szCs w:val="20"/>
              </w:rPr>
            </w:pPr>
            <w:r>
              <w:rPr>
                <w:sz w:val="20"/>
                <w:szCs w:val="20"/>
              </w:rPr>
              <w:t xml:space="preserve">Nel piano anticorruzione del Comune di Ventimiglia si intende in tali settori di forte esposizione al rischio di corruzione introdurre, nel periodo di validità del piano, meccanismi rigidi che impediscano il ricorso a procedure negoziate, se non previa indagine di mercato per l’individuazione di potenziali affidatari fra cui effettuare gli </w:t>
            </w:r>
            <w:r>
              <w:rPr>
                <w:sz w:val="20"/>
                <w:szCs w:val="20"/>
              </w:rPr>
              <w:lastRenderedPageBreak/>
              <w:t>affidamenti sotto soglia.</w:t>
            </w:r>
          </w:p>
          <w:p w:rsidR="00511AE2" w:rsidRDefault="00511AE2" w:rsidP="00511AE2">
            <w:pPr>
              <w:jc w:val="both"/>
              <w:rPr>
                <w:sz w:val="20"/>
                <w:szCs w:val="20"/>
              </w:rPr>
            </w:pPr>
          </w:p>
          <w:p w:rsidR="00C328FA" w:rsidRPr="00BC1504" w:rsidRDefault="00511AE2" w:rsidP="00BC1504">
            <w:pPr>
              <w:pStyle w:val="Paragrafoelenco"/>
              <w:numPr>
                <w:ilvl w:val="0"/>
                <w:numId w:val="27"/>
              </w:numPr>
              <w:jc w:val="both"/>
              <w:rPr>
                <w:i/>
                <w:sz w:val="20"/>
                <w:szCs w:val="20"/>
              </w:rPr>
            </w:pPr>
            <w:r w:rsidRPr="00B21780">
              <w:rPr>
                <w:i/>
                <w:sz w:val="20"/>
                <w:szCs w:val="20"/>
              </w:rPr>
              <w:t>Le clausole dei bandi di gara</w:t>
            </w:r>
          </w:p>
          <w:p w:rsidR="00C328FA" w:rsidRDefault="00C328FA" w:rsidP="00DF5389">
            <w:pPr>
              <w:pStyle w:val="Paragrafoelenco"/>
              <w:numPr>
                <w:ilvl w:val="0"/>
                <w:numId w:val="11"/>
              </w:numPr>
              <w:jc w:val="both"/>
              <w:rPr>
                <w:sz w:val="20"/>
                <w:szCs w:val="20"/>
              </w:rPr>
            </w:pPr>
            <w:r w:rsidRPr="00DF5389">
              <w:rPr>
                <w:sz w:val="20"/>
                <w:szCs w:val="20"/>
              </w:rPr>
              <w:t>Il bando di gara consta di una serie di regole prefissate dalla normativa vigente in materia appalti, che costituiscono il suo contenuto mini</w:t>
            </w:r>
            <w:r w:rsidR="00DF5389">
              <w:rPr>
                <w:sz w:val="20"/>
                <w:szCs w:val="20"/>
              </w:rPr>
              <w:t xml:space="preserve">mo essenziale non derogabile, e </w:t>
            </w:r>
            <w:r w:rsidRPr="00DF5389">
              <w:rPr>
                <w:sz w:val="20"/>
                <w:szCs w:val="20"/>
              </w:rPr>
              <w:t>d</w:t>
            </w:r>
            <w:r w:rsidR="004C01C7" w:rsidRPr="00DF5389">
              <w:rPr>
                <w:sz w:val="20"/>
                <w:szCs w:val="20"/>
              </w:rPr>
              <w:t>a una serie di disposizioni elaborate discrezionalmente dall’Amministrazione appaltante.</w:t>
            </w:r>
          </w:p>
          <w:p w:rsidR="00DF5389" w:rsidRDefault="00DF5389" w:rsidP="00DF5389">
            <w:pPr>
              <w:pStyle w:val="Paragrafoelenco"/>
              <w:numPr>
                <w:ilvl w:val="0"/>
                <w:numId w:val="11"/>
              </w:numPr>
              <w:jc w:val="both"/>
              <w:rPr>
                <w:sz w:val="20"/>
                <w:szCs w:val="20"/>
              </w:rPr>
            </w:pPr>
            <w:r>
              <w:rPr>
                <w:sz w:val="20"/>
                <w:szCs w:val="20"/>
              </w:rPr>
              <w:t>Queste ultime sono ammesse per il fatto che vi possono essere casi o situazioni particolari nei quali è opportuno che la stazione appaltante abbia quelle cognizioni e quelle</w:t>
            </w:r>
            <w:r w:rsidR="00413F54">
              <w:rPr>
                <w:sz w:val="20"/>
                <w:szCs w:val="20"/>
              </w:rPr>
              <w:t xml:space="preserve"> garanzie necessarie per il caso specifico.</w:t>
            </w:r>
          </w:p>
          <w:p w:rsidR="00413F54" w:rsidRDefault="00413F54" w:rsidP="00DF5389">
            <w:pPr>
              <w:pStyle w:val="Paragrafoelenco"/>
              <w:numPr>
                <w:ilvl w:val="0"/>
                <w:numId w:val="11"/>
              </w:numPr>
              <w:jc w:val="both"/>
              <w:rPr>
                <w:sz w:val="20"/>
                <w:szCs w:val="20"/>
              </w:rPr>
            </w:pPr>
            <w:r>
              <w:rPr>
                <w:sz w:val="20"/>
                <w:szCs w:val="20"/>
              </w:rPr>
              <w:t>Per giurisprudenza costante, il potere discrezionale della P.A. di integrare, tramite il bando di gara, per gli aspetti non oggetto di specifica ed esaustiva regolamentazione, i requisiti di ammissione alle procedure di evidenza pubblica, deve in ogni caso raccordarsi con carattere di proporzionalità ed adeguatezza alla tipologia ed all’oggetto della prestazione per la quale occorre indire la gara e non deve, inoltre, tradursi in un’indebita limitazione dell’accesso delle imprese interessate presenti sul mercato.</w:t>
            </w:r>
          </w:p>
          <w:p w:rsidR="00413F54" w:rsidRDefault="00413F54" w:rsidP="00DF5389">
            <w:pPr>
              <w:pStyle w:val="Paragrafoelenco"/>
              <w:numPr>
                <w:ilvl w:val="0"/>
                <w:numId w:val="11"/>
              </w:numPr>
              <w:jc w:val="both"/>
              <w:rPr>
                <w:sz w:val="20"/>
                <w:szCs w:val="20"/>
              </w:rPr>
            </w:pPr>
            <w:r>
              <w:rPr>
                <w:sz w:val="20"/>
                <w:szCs w:val="20"/>
              </w:rPr>
              <w:t>Per quanto riguarda i requisiti aggiuntivi introdotti nei bandi di gara del Comune di Ventimiglia, quindi, questi devono essere ragionevoli e pertinenti rispetto al fine di garantire la maggiore serietà del procedimento di gara e di consentire la scelta dell’offerta più rispondente all’interesse pubblico e non devono violare il principio della par condicio dei concorrenti, nonché il principio della massima partecipazione delle imprese aspiranti all’aggiudicazione.</w:t>
            </w:r>
          </w:p>
          <w:p w:rsidR="003A5AB5" w:rsidRDefault="003A5AB5" w:rsidP="00DF5389">
            <w:pPr>
              <w:pStyle w:val="Paragrafoelenco"/>
              <w:numPr>
                <w:ilvl w:val="0"/>
                <w:numId w:val="11"/>
              </w:numPr>
              <w:jc w:val="both"/>
              <w:rPr>
                <w:sz w:val="20"/>
                <w:szCs w:val="20"/>
              </w:rPr>
            </w:pPr>
            <w:r>
              <w:rPr>
                <w:sz w:val="20"/>
                <w:szCs w:val="20"/>
              </w:rPr>
              <w:t>L’introduzione di clausole contrattuali non ispirate ai predetti principi può costituire un elemento di rischi di corruzione. Per tale ragione, nella redazione dei bandi di gara i Responsabili dei settori comunali dovranno ispirarsi, nel determinare i requisiti di ammissione all</w:t>
            </w:r>
            <w:r w:rsidR="001F7360">
              <w:rPr>
                <w:sz w:val="20"/>
                <w:szCs w:val="20"/>
              </w:rPr>
              <w:t>e</w:t>
            </w:r>
            <w:r>
              <w:rPr>
                <w:sz w:val="20"/>
                <w:szCs w:val="20"/>
              </w:rPr>
              <w:t xml:space="preserve"> procedur</w:t>
            </w:r>
            <w:r w:rsidR="001F7360">
              <w:rPr>
                <w:sz w:val="20"/>
                <w:szCs w:val="20"/>
              </w:rPr>
              <w:t>e</w:t>
            </w:r>
            <w:r>
              <w:rPr>
                <w:sz w:val="20"/>
                <w:szCs w:val="20"/>
              </w:rPr>
              <w:t xml:space="preserve"> di gara, ai citati principi di proporzionalità ed adeguatezza, che costituiscono anche criteri di legittimità degli atti amministrativi.</w:t>
            </w:r>
          </w:p>
          <w:p w:rsidR="003A5AB5" w:rsidRDefault="003A5AB5" w:rsidP="003A5AB5">
            <w:pPr>
              <w:ind w:left="360"/>
              <w:jc w:val="both"/>
              <w:rPr>
                <w:sz w:val="20"/>
                <w:szCs w:val="20"/>
              </w:rPr>
            </w:pPr>
          </w:p>
          <w:p w:rsidR="003A5AB5" w:rsidRPr="00BC1504" w:rsidRDefault="001F7360" w:rsidP="00BC1504">
            <w:pPr>
              <w:ind w:left="360"/>
              <w:jc w:val="both"/>
              <w:rPr>
                <w:i/>
                <w:sz w:val="20"/>
                <w:szCs w:val="20"/>
              </w:rPr>
            </w:pPr>
            <w:r>
              <w:rPr>
                <w:i/>
                <w:sz w:val="20"/>
                <w:szCs w:val="20"/>
              </w:rPr>
              <w:t xml:space="preserve">3     </w:t>
            </w:r>
            <w:r w:rsidR="003A5AB5" w:rsidRPr="001F7360">
              <w:rPr>
                <w:i/>
                <w:sz w:val="20"/>
                <w:szCs w:val="20"/>
              </w:rPr>
              <w:t>Rinnovi e proroghe di rapporti contrattuali in essere.</w:t>
            </w:r>
          </w:p>
          <w:p w:rsidR="003A5AB5" w:rsidRDefault="003A5AB5" w:rsidP="003A5AB5">
            <w:pPr>
              <w:pStyle w:val="Paragrafoelenco"/>
              <w:numPr>
                <w:ilvl w:val="0"/>
                <w:numId w:val="13"/>
              </w:numPr>
              <w:jc w:val="both"/>
              <w:rPr>
                <w:sz w:val="20"/>
                <w:szCs w:val="20"/>
              </w:rPr>
            </w:pPr>
            <w:r>
              <w:rPr>
                <w:sz w:val="20"/>
                <w:szCs w:val="20"/>
              </w:rPr>
              <w:t>La giurisprudenza ha chiarito che il rinnovo contrattuale si traduce in un rinnovato esercizio dell’autonomia negoziale tra gli originari contraenti; poiché presuppone una nuova negoziazione tra le medesime parti per l’instaurazione di un nuovo rapporto giuridico</w:t>
            </w:r>
            <w:r w:rsidR="00B23525">
              <w:rPr>
                <w:sz w:val="20"/>
                <w:szCs w:val="20"/>
              </w:rPr>
              <w:t>, il rinnovo costituisce una specie di trattativa privata la quale può trovare applicazione nei limiti in cui le norme consentono di derogare all’esperimento delle procedure selettive di evidenza pubblica. L’istituto della proroga del contratto è ontologicamente diverso dal rinnovo, in quanto determina il differimento del termine finale di conclusione del rapporto, che rimane regolato</w:t>
            </w:r>
            <w:r w:rsidR="004145C8">
              <w:rPr>
                <w:sz w:val="20"/>
                <w:szCs w:val="20"/>
              </w:rPr>
              <w:t xml:space="preserve"> dalla sua fonte originaria. Attraverso la proroga le parti scelgono concordemente di protrarre soltanto l’efficacia di un contratto tra loro già stipulato, il quale, a parte i profili di durata, resta identico a sé stesso. Il rinnovo e la proroga dei contratti di appalto, pur con le differenze sopra individuate, limitano il ricorso alle procedure  di evidenza pubblica determinando, per tale via, il restringimento della libera concorrenza degli operatori economici. Pertanto possono essere consentiti solo in quanto oggetto di specifica previsione normativa; </w:t>
            </w:r>
            <w:r w:rsidR="00977ECE">
              <w:rPr>
                <w:sz w:val="20"/>
                <w:szCs w:val="20"/>
              </w:rPr>
              <w:t xml:space="preserve">ed entro gli stretti ambiti di applicazione delle norme le quali, </w:t>
            </w:r>
            <w:r w:rsidR="00AE110D">
              <w:rPr>
                <w:sz w:val="20"/>
                <w:szCs w:val="20"/>
              </w:rPr>
              <w:t>costituendo una deroga alle ordinarie procedure di evidenza pubblica, costituiscono regole di limitata interpretazione.</w:t>
            </w:r>
          </w:p>
          <w:p w:rsidR="00AE110D" w:rsidRDefault="00AE110D" w:rsidP="003A5AB5">
            <w:pPr>
              <w:pStyle w:val="Paragrafoelenco"/>
              <w:numPr>
                <w:ilvl w:val="0"/>
                <w:numId w:val="13"/>
              </w:numPr>
              <w:jc w:val="both"/>
              <w:rPr>
                <w:sz w:val="20"/>
                <w:szCs w:val="20"/>
              </w:rPr>
            </w:pPr>
            <w:r>
              <w:rPr>
                <w:sz w:val="20"/>
                <w:szCs w:val="20"/>
              </w:rPr>
              <w:t>In realtà, un orientamento giurisprudenziale sostiene che la proroga, differentemente dal rinnovo, non debba essere assistita da una motivazione particolarmente pregnante, essendo preordinata al soddisfacimento del pubblico interesse insito nella garanzia della prosecuzione del servizio in capo al precedente affidatario, nelle more dello svolgimento delle procedure necessarie per l’individuazione del nuovo contraente. Tuttavia, in un ambito ad elevato rischio di corruzione si ritiene di dover aderire ad un’impostazione più rigorosa sul tema, ammettendo il ricorso alla proroga nei soli, limitati ed eccezionali casi in cui vi sia un’effettiva necessità di assicurare precariamente il servizio nelle more del reperimento del nuovo contraente.</w:t>
            </w:r>
          </w:p>
          <w:p w:rsidR="00AE110D" w:rsidRPr="003A5AB5" w:rsidRDefault="00AE110D" w:rsidP="003A5AB5">
            <w:pPr>
              <w:pStyle w:val="Paragrafoelenco"/>
              <w:numPr>
                <w:ilvl w:val="0"/>
                <w:numId w:val="13"/>
              </w:numPr>
              <w:jc w:val="both"/>
              <w:rPr>
                <w:sz w:val="20"/>
                <w:szCs w:val="20"/>
              </w:rPr>
            </w:pPr>
            <w:r>
              <w:rPr>
                <w:sz w:val="20"/>
                <w:szCs w:val="20"/>
              </w:rPr>
              <w:t>Tale necessità non deve, inoltre, essere imputabile in alcun modo al ritardo da parte del Dirigente o Responsabile del Settore interessato all’indizione della gara. Questi sono tenuti ad attivare per tempo le procedure per la scelta del nuovo contraente, per le fattispecie di servizi che devono essere assicurati con continuità. La proroga, inoltre, non può valere a costituire una prosecuzione di precedenti rapporti per un tempo indeterminato o comunque superiore a quello consentito dalla legge, poiché tali fattispecie realizzano un rinnovo contrattuale mascherato.</w:t>
            </w:r>
          </w:p>
          <w:p w:rsidR="003A5AB5" w:rsidRPr="003A5AB5" w:rsidRDefault="003A5AB5" w:rsidP="003A5AB5">
            <w:pPr>
              <w:pStyle w:val="Paragrafoelenco"/>
              <w:jc w:val="both"/>
              <w:rPr>
                <w:i/>
                <w:sz w:val="20"/>
                <w:szCs w:val="20"/>
              </w:rPr>
            </w:pPr>
          </w:p>
          <w:p w:rsidR="00C328FA" w:rsidRPr="00C328FA" w:rsidRDefault="00C328FA" w:rsidP="00C328FA">
            <w:pPr>
              <w:jc w:val="both"/>
              <w:rPr>
                <w:sz w:val="20"/>
                <w:szCs w:val="20"/>
              </w:rPr>
            </w:pPr>
          </w:p>
          <w:tbl>
            <w:tblPr>
              <w:tblStyle w:val="Grigliatabella"/>
              <w:tblW w:w="0" w:type="auto"/>
              <w:tblLook w:val="04A0"/>
            </w:tblPr>
            <w:tblGrid>
              <w:gridCol w:w="14196"/>
            </w:tblGrid>
            <w:tr w:rsidR="000F5B3F" w:rsidTr="00BC1504">
              <w:trPr>
                <w:trHeight w:val="288"/>
              </w:trPr>
              <w:tc>
                <w:tcPr>
                  <w:tcW w:w="14196" w:type="dxa"/>
                </w:tcPr>
                <w:p w:rsidR="000F5B3F" w:rsidRPr="000F5B3F" w:rsidRDefault="000F5B3F" w:rsidP="000F5B3F">
                  <w:pPr>
                    <w:jc w:val="center"/>
                    <w:rPr>
                      <w:b/>
                      <w:sz w:val="24"/>
                      <w:szCs w:val="24"/>
                    </w:rPr>
                  </w:pPr>
                  <w:r w:rsidRPr="000F5B3F">
                    <w:rPr>
                      <w:b/>
                      <w:sz w:val="24"/>
                      <w:szCs w:val="24"/>
                    </w:rPr>
                    <w:lastRenderedPageBreak/>
                    <w:t>SCHEDA N. 2: URBANISTICA</w:t>
                  </w:r>
                </w:p>
              </w:tc>
            </w:tr>
          </w:tbl>
          <w:p w:rsidR="00C7753C" w:rsidRPr="00BC1504" w:rsidRDefault="00C7753C" w:rsidP="00BC1504">
            <w:pPr>
              <w:jc w:val="both"/>
              <w:rPr>
                <w:sz w:val="20"/>
                <w:szCs w:val="20"/>
              </w:rPr>
            </w:pPr>
          </w:p>
        </w:tc>
      </w:tr>
      <w:tr w:rsidR="00B049EF" w:rsidTr="005845CA">
        <w:tc>
          <w:tcPr>
            <w:tcW w:w="3652" w:type="dxa"/>
          </w:tcPr>
          <w:p w:rsidR="00BC1504" w:rsidRPr="00BC1504" w:rsidRDefault="00BC1504" w:rsidP="002A1857">
            <w:pPr>
              <w:jc w:val="center"/>
              <w:rPr>
                <w:b/>
              </w:rPr>
            </w:pPr>
          </w:p>
          <w:p w:rsidR="00B049EF" w:rsidRPr="00BC1504" w:rsidRDefault="00B049EF" w:rsidP="002A1857">
            <w:pPr>
              <w:jc w:val="center"/>
              <w:rPr>
                <w:b/>
              </w:rPr>
            </w:pPr>
            <w:r w:rsidRPr="00BC1504">
              <w:rPr>
                <w:b/>
              </w:rPr>
              <w:t>Procedimenti</w:t>
            </w:r>
          </w:p>
          <w:p w:rsidR="00BC1504" w:rsidRPr="00BC1504" w:rsidRDefault="00BC1504" w:rsidP="002A1857">
            <w:pPr>
              <w:jc w:val="center"/>
              <w:rPr>
                <w:b/>
              </w:rPr>
            </w:pPr>
          </w:p>
        </w:tc>
        <w:tc>
          <w:tcPr>
            <w:tcW w:w="2552" w:type="dxa"/>
          </w:tcPr>
          <w:p w:rsidR="00BC1504" w:rsidRPr="00BC1504" w:rsidRDefault="00BC1504" w:rsidP="002A1857">
            <w:pPr>
              <w:jc w:val="center"/>
              <w:rPr>
                <w:b/>
              </w:rPr>
            </w:pPr>
          </w:p>
          <w:p w:rsidR="00B049EF" w:rsidRPr="00BC1504" w:rsidRDefault="00B049EF" w:rsidP="002A1857">
            <w:pPr>
              <w:jc w:val="center"/>
              <w:rPr>
                <w:b/>
              </w:rPr>
            </w:pPr>
            <w:r w:rsidRPr="00BC1504">
              <w:rPr>
                <w:b/>
              </w:rPr>
              <w:t>Livello di rischio</w:t>
            </w:r>
          </w:p>
        </w:tc>
        <w:tc>
          <w:tcPr>
            <w:tcW w:w="8223" w:type="dxa"/>
          </w:tcPr>
          <w:p w:rsidR="00BC1504" w:rsidRPr="00BC1504" w:rsidRDefault="00BC1504" w:rsidP="00B049EF">
            <w:pPr>
              <w:jc w:val="center"/>
              <w:rPr>
                <w:b/>
              </w:rPr>
            </w:pPr>
          </w:p>
          <w:p w:rsidR="00B049EF" w:rsidRPr="00BC1504" w:rsidRDefault="00B049EF" w:rsidP="00B049EF">
            <w:pPr>
              <w:jc w:val="center"/>
              <w:rPr>
                <w:b/>
              </w:rPr>
            </w:pPr>
            <w:r w:rsidRPr="00BC1504">
              <w:rPr>
                <w:b/>
              </w:rPr>
              <w:t>Misure di prevenzione</w:t>
            </w:r>
          </w:p>
        </w:tc>
      </w:tr>
      <w:tr w:rsidR="003B6026" w:rsidTr="003B6026">
        <w:tc>
          <w:tcPr>
            <w:tcW w:w="3652" w:type="dxa"/>
          </w:tcPr>
          <w:p w:rsidR="003B6026" w:rsidRPr="003B6026" w:rsidRDefault="003B6026" w:rsidP="003B6026">
            <w:pPr>
              <w:jc w:val="both"/>
              <w:rPr>
                <w:sz w:val="20"/>
                <w:szCs w:val="20"/>
              </w:rPr>
            </w:pPr>
            <w:r>
              <w:rPr>
                <w:sz w:val="20"/>
                <w:szCs w:val="20"/>
              </w:rPr>
              <w:t>Strumenti urbanistici attuativi (SUA) e concessioni edilizie convenzionate (CEC)</w:t>
            </w:r>
          </w:p>
        </w:tc>
        <w:tc>
          <w:tcPr>
            <w:tcW w:w="2552" w:type="dxa"/>
          </w:tcPr>
          <w:p w:rsidR="003B6026" w:rsidRPr="003B6026" w:rsidRDefault="003B6026" w:rsidP="002A1857">
            <w:pPr>
              <w:jc w:val="center"/>
              <w:rPr>
                <w:sz w:val="20"/>
                <w:szCs w:val="20"/>
              </w:rPr>
            </w:pPr>
            <w:r>
              <w:rPr>
                <w:sz w:val="20"/>
                <w:szCs w:val="20"/>
              </w:rPr>
              <w:t>Alto</w:t>
            </w:r>
          </w:p>
        </w:tc>
        <w:tc>
          <w:tcPr>
            <w:tcW w:w="8223" w:type="dxa"/>
          </w:tcPr>
          <w:p w:rsidR="003B6026" w:rsidRDefault="00BB394D" w:rsidP="00BB394D">
            <w:pPr>
              <w:pStyle w:val="Paragrafoelenco"/>
              <w:numPr>
                <w:ilvl w:val="0"/>
                <w:numId w:val="14"/>
              </w:numPr>
              <w:rPr>
                <w:sz w:val="20"/>
                <w:szCs w:val="20"/>
              </w:rPr>
            </w:pPr>
            <w:r>
              <w:rPr>
                <w:sz w:val="20"/>
                <w:szCs w:val="20"/>
              </w:rPr>
              <w:t>Valutazione analitica dei costi delle opere di urbanizzazione proposte a scomputo</w:t>
            </w:r>
          </w:p>
          <w:p w:rsidR="00BB394D" w:rsidRDefault="00BB394D" w:rsidP="00BB394D">
            <w:pPr>
              <w:pStyle w:val="Paragrafoelenco"/>
              <w:numPr>
                <w:ilvl w:val="0"/>
                <w:numId w:val="14"/>
              </w:numPr>
              <w:rPr>
                <w:sz w:val="20"/>
                <w:szCs w:val="20"/>
              </w:rPr>
            </w:pPr>
            <w:r>
              <w:rPr>
                <w:sz w:val="20"/>
                <w:szCs w:val="20"/>
              </w:rPr>
              <w:t>Predisposizione ed utilizzo di schemi standard di convenzioni urbanistiche</w:t>
            </w:r>
          </w:p>
          <w:p w:rsidR="00BB394D" w:rsidRPr="003B6026" w:rsidRDefault="00BB394D" w:rsidP="00BB394D">
            <w:pPr>
              <w:pStyle w:val="Paragrafoelenco"/>
              <w:numPr>
                <w:ilvl w:val="0"/>
                <w:numId w:val="14"/>
              </w:numPr>
              <w:rPr>
                <w:sz w:val="20"/>
                <w:szCs w:val="20"/>
              </w:rPr>
            </w:pPr>
            <w:r>
              <w:rPr>
                <w:sz w:val="20"/>
                <w:szCs w:val="20"/>
              </w:rPr>
              <w:t>Archiviazione informatica di tutti i procedimenti di SUA e di CEC</w:t>
            </w:r>
          </w:p>
        </w:tc>
      </w:tr>
      <w:tr w:rsidR="000772F7" w:rsidRPr="006A5FCE" w:rsidTr="007B16E3">
        <w:trPr>
          <w:trHeight w:val="382"/>
        </w:trPr>
        <w:tc>
          <w:tcPr>
            <w:tcW w:w="14427" w:type="dxa"/>
            <w:gridSpan w:val="3"/>
          </w:tcPr>
          <w:p w:rsidR="000772F7" w:rsidRDefault="000772F7" w:rsidP="002A1857">
            <w:pPr>
              <w:jc w:val="center"/>
              <w:rPr>
                <w:b/>
                <w:sz w:val="24"/>
                <w:szCs w:val="24"/>
              </w:rPr>
            </w:pPr>
          </w:p>
          <w:p w:rsidR="000772F7" w:rsidRPr="006A5FCE" w:rsidRDefault="000772F7" w:rsidP="00927F1F">
            <w:pPr>
              <w:jc w:val="center"/>
              <w:rPr>
                <w:b/>
                <w:sz w:val="24"/>
                <w:szCs w:val="24"/>
              </w:rPr>
            </w:pPr>
            <w:r w:rsidRPr="006A5FCE">
              <w:rPr>
                <w:b/>
                <w:sz w:val="24"/>
                <w:szCs w:val="24"/>
              </w:rPr>
              <w:t xml:space="preserve">SCHEDA N. </w:t>
            </w:r>
            <w:r>
              <w:rPr>
                <w:b/>
                <w:sz w:val="24"/>
                <w:szCs w:val="24"/>
              </w:rPr>
              <w:t>3</w:t>
            </w:r>
            <w:r w:rsidRPr="006A5FCE">
              <w:rPr>
                <w:b/>
                <w:sz w:val="24"/>
                <w:szCs w:val="24"/>
              </w:rPr>
              <w:t xml:space="preserve">: </w:t>
            </w:r>
            <w:r>
              <w:rPr>
                <w:b/>
                <w:sz w:val="24"/>
                <w:szCs w:val="24"/>
              </w:rPr>
              <w:t>EDILIZIA</w:t>
            </w:r>
          </w:p>
        </w:tc>
      </w:tr>
      <w:tr w:rsidR="00927F1F" w:rsidTr="002A1857">
        <w:tc>
          <w:tcPr>
            <w:tcW w:w="3652" w:type="dxa"/>
          </w:tcPr>
          <w:p w:rsidR="00BC1504" w:rsidRPr="00BC1504" w:rsidRDefault="00BC1504" w:rsidP="002A1857">
            <w:pPr>
              <w:jc w:val="center"/>
              <w:rPr>
                <w:b/>
              </w:rPr>
            </w:pPr>
          </w:p>
          <w:p w:rsidR="00927F1F" w:rsidRPr="00BC1504" w:rsidRDefault="00927F1F" w:rsidP="002A1857">
            <w:pPr>
              <w:jc w:val="center"/>
              <w:rPr>
                <w:b/>
              </w:rPr>
            </w:pPr>
            <w:r w:rsidRPr="00BC1504">
              <w:rPr>
                <w:b/>
              </w:rPr>
              <w:t>Procedimenti</w:t>
            </w:r>
          </w:p>
          <w:p w:rsidR="00BC1504" w:rsidRPr="00BC1504" w:rsidRDefault="00BC1504" w:rsidP="002A1857">
            <w:pPr>
              <w:jc w:val="center"/>
              <w:rPr>
                <w:b/>
              </w:rPr>
            </w:pPr>
          </w:p>
        </w:tc>
        <w:tc>
          <w:tcPr>
            <w:tcW w:w="2552" w:type="dxa"/>
          </w:tcPr>
          <w:p w:rsidR="00BC1504" w:rsidRDefault="00BC1504" w:rsidP="002A1857">
            <w:pPr>
              <w:jc w:val="center"/>
              <w:rPr>
                <w:b/>
              </w:rPr>
            </w:pPr>
          </w:p>
          <w:p w:rsidR="00927F1F" w:rsidRPr="00BC1504" w:rsidRDefault="00927F1F" w:rsidP="002A1857">
            <w:pPr>
              <w:jc w:val="center"/>
              <w:rPr>
                <w:b/>
              </w:rPr>
            </w:pPr>
            <w:r w:rsidRPr="00BC1504">
              <w:rPr>
                <w:b/>
              </w:rPr>
              <w:t>Livello di rischio</w:t>
            </w:r>
          </w:p>
        </w:tc>
        <w:tc>
          <w:tcPr>
            <w:tcW w:w="8223" w:type="dxa"/>
          </w:tcPr>
          <w:p w:rsidR="00BC1504" w:rsidRDefault="00BC1504" w:rsidP="002A1857">
            <w:pPr>
              <w:jc w:val="center"/>
              <w:rPr>
                <w:b/>
              </w:rPr>
            </w:pPr>
          </w:p>
          <w:p w:rsidR="00927F1F" w:rsidRPr="00BC1504" w:rsidRDefault="00927F1F" w:rsidP="002A1857">
            <w:pPr>
              <w:jc w:val="center"/>
              <w:rPr>
                <w:b/>
              </w:rPr>
            </w:pPr>
            <w:r w:rsidRPr="00BC1504">
              <w:rPr>
                <w:b/>
              </w:rPr>
              <w:t>Misure di prevenzione</w:t>
            </w:r>
          </w:p>
        </w:tc>
      </w:tr>
      <w:tr w:rsidR="00D61D68" w:rsidTr="00D61D68">
        <w:tc>
          <w:tcPr>
            <w:tcW w:w="3652" w:type="dxa"/>
          </w:tcPr>
          <w:p w:rsidR="00D61D68" w:rsidRPr="003B6026" w:rsidRDefault="00D61D68" w:rsidP="00907667">
            <w:pPr>
              <w:jc w:val="both"/>
              <w:rPr>
                <w:sz w:val="20"/>
                <w:szCs w:val="20"/>
              </w:rPr>
            </w:pPr>
            <w:r>
              <w:rPr>
                <w:sz w:val="20"/>
                <w:szCs w:val="20"/>
              </w:rPr>
              <w:t>Permess</w:t>
            </w:r>
            <w:r w:rsidR="00907667">
              <w:rPr>
                <w:sz w:val="20"/>
                <w:szCs w:val="20"/>
              </w:rPr>
              <w:t>i</w:t>
            </w:r>
            <w:r>
              <w:rPr>
                <w:sz w:val="20"/>
                <w:szCs w:val="20"/>
              </w:rPr>
              <w:t xml:space="preserve"> di costruire</w:t>
            </w:r>
          </w:p>
        </w:tc>
        <w:tc>
          <w:tcPr>
            <w:tcW w:w="2552" w:type="dxa"/>
          </w:tcPr>
          <w:p w:rsidR="00D61D68" w:rsidRPr="003B6026" w:rsidRDefault="00D61D68" w:rsidP="002A1857">
            <w:pPr>
              <w:jc w:val="center"/>
              <w:rPr>
                <w:sz w:val="20"/>
                <w:szCs w:val="20"/>
              </w:rPr>
            </w:pPr>
            <w:r>
              <w:rPr>
                <w:sz w:val="20"/>
                <w:szCs w:val="20"/>
              </w:rPr>
              <w:t>Medio</w:t>
            </w:r>
          </w:p>
        </w:tc>
        <w:tc>
          <w:tcPr>
            <w:tcW w:w="8223" w:type="dxa"/>
          </w:tcPr>
          <w:p w:rsidR="00D61D68" w:rsidRDefault="008A0EA1" w:rsidP="00D61D68">
            <w:pPr>
              <w:pStyle w:val="Paragrafoelenco"/>
              <w:numPr>
                <w:ilvl w:val="0"/>
                <w:numId w:val="15"/>
              </w:numPr>
              <w:rPr>
                <w:sz w:val="20"/>
                <w:szCs w:val="20"/>
              </w:rPr>
            </w:pPr>
            <w:r>
              <w:rPr>
                <w:sz w:val="20"/>
                <w:szCs w:val="20"/>
              </w:rPr>
              <w:t>Archiviazione infor</w:t>
            </w:r>
            <w:r w:rsidR="007C1F28">
              <w:rPr>
                <w:sz w:val="20"/>
                <w:szCs w:val="20"/>
              </w:rPr>
              <w:t xml:space="preserve">matica di tutti i procedimenti </w:t>
            </w:r>
            <w:r>
              <w:rPr>
                <w:sz w:val="20"/>
                <w:szCs w:val="20"/>
              </w:rPr>
              <w:t>sin dalla fase di avvio.</w:t>
            </w:r>
          </w:p>
          <w:p w:rsidR="00D61D68" w:rsidRDefault="008A0EA1" w:rsidP="00BC1504">
            <w:pPr>
              <w:pStyle w:val="Paragrafoelenco"/>
              <w:numPr>
                <w:ilvl w:val="0"/>
                <w:numId w:val="15"/>
              </w:numPr>
              <w:jc w:val="both"/>
              <w:rPr>
                <w:sz w:val="20"/>
                <w:szCs w:val="20"/>
              </w:rPr>
            </w:pPr>
            <w:r>
              <w:rPr>
                <w:sz w:val="20"/>
                <w:szCs w:val="20"/>
              </w:rPr>
              <w:t xml:space="preserve">Report semestrale da trasmettersi, a cura del Dirigente al Responsabile su: </w:t>
            </w:r>
          </w:p>
          <w:p w:rsidR="008A0EA1" w:rsidRDefault="008A0EA1" w:rsidP="007C1F28">
            <w:pPr>
              <w:pStyle w:val="Paragrafoelenco"/>
              <w:numPr>
                <w:ilvl w:val="0"/>
                <w:numId w:val="29"/>
              </w:numPr>
              <w:ind w:left="884" w:hanging="142"/>
              <w:jc w:val="both"/>
              <w:rPr>
                <w:sz w:val="20"/>
                <w:szCs w:val="20"/>
              </w:rPr>
            </w:pPr>
            <w:r>
              <w:rPr>
                <w:sz w:val="20"/>
                <w:szCs w:val="20"/>
              </w:rPr>
              <w:t>n</w:t>
            </w:r>
            <w:r w:rsidR="00BC1504">
              <w:rPr>
                <w:sz w:val="20"/>
                <w:szCs w:val="20"/>
              </w:rPr>
              <w:t>umero dei</w:t>
            </w:r>
            <w:r>
              <w:rPr>
                <w:sz w:val="20"/>
                <w:szCs w:val="20"/>
              </w:rPr>
              <w:t>. casi di mancato rispetto dell’ordine cronologico nell’esame delle istanze, sul totale di quelle presentate</w:t>
            </w:r>
          </w:p>
          <w:p w:rsidR="008A0EA1" w:rsidRPr="008A0EA1" w:rsidRDefault="00BC1504" w:rsidP="007C1F28">
            <w:pPr>
              <w:pStyle w:val="Paragrafoelenco"/>
              <w:numPr>
                <w:ilvl w:val="0"/>
                <w:numId w:val="29"/>
              </w:numPr>
              <w:ind w:left="884" w:hanging="142"/>
              <w:jc w:val="both"/>
              <w:rPr>
                <w:sz w:val="20"/>
                <w:szCs w:val="20"/>
              </w:rPr>
            </w:pPr>
            <w:r>
              <w:rPr>
                <w:sz w:val="20"/>
                <w:szCs w:val="20"/>
              </w:rPr>
              <w:t xml:space="preserve">numero dei </w:t>
            </w:r>
            <w:r w:rsidR="008A0EA1">
              <w:rPr>
                <w:sz w:val="20"/>
                <w:szCs w:val="20"/>
              </w:rPr>
              <w:t>casi di mancato rispetto dei termini di conclusione del procedimento sul totale di quelli avviati</w:t>
            </w:r>
          </w:p>
        </w:tc>
      </w:tr>
      <w:tr w:rsidR="008A0EA1" w:rsidTr="00D61D68">
        <w:tc>
          <w:tcPr>
            <w:tcW w:w="3652" w:type="dxa"/>
          </w:tcPr>
          <w:p w:rsidR="008A0EA1" w:rsidRDefault="008A0EA1" w:rsidP="002A1857">
            <w:pPr>
              <w:jc w:val="both"/>
              <w:rPr>
                <w:sz w:val="20"/>
                <w:szCs w:val="20"/>
              </w:rPr>
            </w:pPr>
            <w:r>
              <w:rPr>
                <w:sz w:val="20"/>
                <w:szCs w:val="20"/>
              </w:rPr>
              <w:t>Repressione abusi edilizi</w:t>
            </w:r>
          </w:p>
        </w:tc>
        <w:tc>
          <w:tcPr>
            <w:tcW w:w="2552" w:type="dxa"/>
          </w:tcPr>
          <w:p w:rsidR="008A0EA1" w:rsidRDefault="008A0EA1" w:rsidP="002A1857">
            <w:pPr>
              <w:jc w:val="center"/>
              <w:rPr>
                <w:sz w:val="20"/>
                <w:szCs w:val="20"/>
              </w:rPr>
            </w:pPr>
            <w:r>
              <w:rPr>
                <w:sz w:val="20"/>
                <w:szCs w:val="20"/>
              </w:rPr>
              <w:t>Alto</w:t>
            </w:r>
          </w:p>
        </w:tc>
        <w:tc>
          <w:tcPr>
            <w:tcW w:w="8223" w:type="dxa"/>
          </w:tcPr>
          <w:p w:rsidR="008A0EA1" w:rsidRPr="008A0EA1" w:rsidRDefault="008A0EA1" w:rsidP="008A0EA1">
            <w:pPr>
              <w:rPr>
                <w:sz w:val="20"/>
                <w:szCs w:val="20"/>
              </w:rPr>
            </w:pPr>
            <w:r>
              <w:rPr>
                <w:sz w:val="20"/>
                <w:szCs w:val="20"/>
              </w:rPr>
              <w:t>Idem</w:t>
            </w:r>
          </w:p>
        </w:tc>
      </w:tr>
      <w:tr w:rsidR="007B3378" w:rsidTr="00D61D68">
        <w:tc>
          <w:tcPr>
            <w:tcW w:w="3652" w:type="dxa"/>
          </w:tcPr>
          <w:p w:rsidR="007B3378" w:rsidRDefault="007B3378" w:rsidP="002A1857">
            <w:pPr>
              <w:jc w:val="both"/>
              <w:rPr>
                <w:sz w:val="20"/>
                <w:szCs w:val="20"/>
              </w:rPr>
            </w:pPr>
            <w:r>
              <w:rPr>
                <w:sz w:val="20"/>
                <w:szCs w:val="20"/>
              </w:rPr>
              <w:t>Accertamenti di conformità (sanatorie)</w:t>
            </w:r>
          </w:p>
        </w:tc>
        <w:tc>
          <w:tcPr>
            <w:tcW w:w="2552" w:type="dxa"/>
          </w:tcPr>
          <w:p w:rsidR="007B3378" w:rsidRDefault="007B3378" w:rsidP="002A1857">
            <w:pPr>
              <w:jc w:val="center"/>
              <w:rPr>
                <w:sz w:val="20"/>
                <w:szCs w:val="20"/>
              </w:rPr>
            </w:pPr>
            <w:r>
              <w:rPr>
                <w:sz w:val="20"/>
                <w:szCs w:val="20"/>
              </w:rPr>
              <w:t>Medio</w:t>
            </w:r>
          </w:p>
        </w:tc>
        <w:tc>
          <w:tcPr>
            <w:tcW w:w="8223" w:type="dxa"/>
          </w:tcPr>
          <w:p w:rsidR="007B3378" w:rsidRDefault="007B3378" w:rsidP="008A0EA1">
            <w:pPr>
              <w:rPr>
                <w:sz w:val="20"/>
                <w:szCs w:val="20"/>
              </w:rPr>
            </w:pPr>
            <w:r>
              <w:rPr>
                <w:sz w:val="20"/>
                <w:szCs w:val="20"/>
              </w:rPr>
              <w:t>Idem</w:t>
            </w:r>
          </w:p>
        </w:tc>
      </w:tr>
      <w:tr w:rsidR="007B71DD" w:rsidRPr="006A5FCE" w:rsidTr="002A1857">
        <w:trPr>
          <w:trHeight w:val="382"/>
        </w:trPr>
        <w:tc>
          <w:tcPr>
            <w:tcW w:w="14427" w:type="dxa"/>
            <w:gridSpan w:val="3"/>
          </w:tcPr>
          <w:p w:rsidR="007B71DD" w:rsidRDefault="007B71DD" w:rsidP="002A1857">
            <w:pPr>
              <w:jc w:val="center"/>
              <w:rPr>
                <w:b/>
                <w:sz w:val="24"/>
                <w:szCs w:val="24"/>
              </w:rPr>
            </w:pPr>
          </w:p>
          <w:p w:rsidR="007B71DD" w:rsidRPr="006A5FCE" w:rsidRDefault="007B71DD" w:rsidP="007B71DD">
            <w:pPr>
              <w:jc w:val="center"/>
              <w:rPr>
                <w:b/>
                <w:sz w:val="24"/>
                <w:szCs w:val="24"/>
              </w:rPr>
            </w:pPr>
            <w:r w:rsidRPr="006A5FCE">
              <w:rPr>
                <w:b/>
                <w:sz w:val="24"/>
                <w:szCs w:val="24"/>
              </w:rPr>
              <w:t xml:space="preserve">SCHEDA N. </w:t>
            </w:r>
            <w:r>
              <w:rPr>
                <w:b/>
                <w:sz w:val="24"/>
                <w:szCs w:val="24"/>
              </w:rPr>
              <w:t>4</w:t>
            </w:r>
            <w:r w:rsidRPr="006A5FCE">
              <w:rPr>
                <w:b/>
                <w:sz w:val="24"/>
                <w:szCs w:val="24"/>
              </w:rPr>
              <w:t xml:space="preserve">: </w:t>
            </w:r>
            <w:r>
              <w:rPr>
                <w:b/>
                <w:sz w:val="24"/>
                <w:szCs w:val="24"/>
              </w:rPr>
              <w:t>ATTIVITA’ PRODUTTIVE</w:t>
            </w:r>
          </w:p>
        </w:tc>
      </w:tr>
      <w:tr w:rsidR="00511ABE" w:rsidTr="002A1857">
        <w:tc>
          <w:tcPr>
            <w:tcW w:w="3652" w:type="dxa"/>
          </w:tcPr>
          <w:p w:rsidR="00BC1504" w:rsidRPr="00BC1504" w:rsidRDefault="00BC1504" w:rsidP="002A1857">
            <w:pPr>
              <w:jc w:val="center"/>
              <w:rPr>
                <w:b/>
              </w:rPr>
            </w:pPr>
          </w:p>
          <w:p w:rsidR="00511ABE" w:rsidRPr="00BC1504" w:rsidRDefault="00511ABE" w:rsidP="002A1857">
            <w:pPr>
              <w:jc w:val="center"/>
              <w:rPr>
                <w:b/>
              </w:rPr>
            </w:pPr>
            <w:r w:rsidRPr="00BC1504">
              <w:rPr>
                <w:b/>
              </w:rPr>
              <w:t>Procedimenti</w:t>
            </w:r>
          </w:p>
          <w:p w:rsidR="00BC1504" w:rsidRPr="00BC1504" w:rsidRDefault="00BC1504" w:rsidP="002A1857">
            <w:pPr>
              <w:jc w:val="center"/>
              <w:rPr>
                <w:b/>
              </w:rPr>
            </w:pPr>
          </w:p>
        </w:tc>
        <w:tc>
          <w:tcPr>
            <w:tcW w:w="2552" w:type="dxa"/>
          </w:tcPr>
          <w:p w:rsidR="00BC1504" w:rsidRDefault="00BC1504" w:rsidP="002A1857">
            <w:pPr>
              <w:jc w:val="center"/>
              <w:rPr>
                <w:b/>
              </w:rPr>
            </w:pPr>
          </w:p>
          <w:p w:rsidR="00511ABE" w:rsidRPr="00BC1504" w:rsidRDefault="00511ABE" w:rsidP="002A1857">
            <w:pPr>
              <w:jc w:val="center"/>
              <w:rPr>
                <w:b/>
              </w:rPr>
            </w:pPr>
            <w:r w:rsidRPr="00BC1504">
              <w:rPr>
                <w:b/>
              </w:rPr>
              <w:t>Livello di rischio</w:t>
            </w:r>
          </w:p>
        </w:tc>
        <w:tc>
          <w:tcPr>
            <w:tcW w:w="8223" w:type="dxa"/>
          </w:tcPr>
          <w:p w:rsidR="00BC1504" w:rsidRDefault="00BC1504" w:rsidP="002A1857">
            <w:pPr>
              <w:jc w:val="center"/>
              <w:rPr>
                <w:b/>
              </w:rPr>
            </w:pPr>
          </w:p>
          <w:p w:rsidR="00511ABE" w:rsidRPr="00BC1504" w:rsidRDefault="00511ABE" w:rsidP="002A1857">
            <w:pPr>
              <w:jc w:val="center"/>
              <w:rPr>
                <w:b/>
              </w:rPr>
            </w:pPr>
            <w:r w:rsidRPr="00BC1504">
              <w:rPr>
                <w:b/>
              </w:rPr>
              <w:t>Misure di prevenzione</w:t>
            </w:r>
          </w:p>
        </w:tc>
      </w:tr>
      <w:tr w:rsidR="00511ABE" w:rsidTr="00511ABE">
        <w:tc>
          <w:tcPr>
            <w:tcW w:w="3652" w:type="dxa"/>
          </w:tcPr>
          <w:p w:rsidR="00511ABE" w:rsidRPr="003B6026" w:rsidRDefault="00443069" w:rsidP="002A1857">
            <w:pPr>
              <w:jc w:val="both"/>
              <w:rPr>
                <w:sz w:val="20"/>
                <w:szCs w:val="20"/>
              </w:rPr>
            </w:pPr>
            <w:r>
              <w:rPr>
                <w:sz w:val="20"/>
                <w:szCs w:val="20"/>
              </w:rPr>
              <w:t>Attività produttive in variante allo strumento urbanistico (art.8 D.P.R. n. 160/2010 – ex art.5 D.P.R. N.447/1998)</w:t>
            </w:r>
          </w:p>
        </w:tc>
        <w:tc>
          <w:tcPr>
            <w:tcW w:w="2552" w:type="dxa"/>
          </w:tcPr>
          <w:p w:rsidR="00511ABE" w:rsidRPr="003B6026" w:rsidRDefault="00443069" w:rsidP="002A1857">
            <w:pPr>
              <w:jc w:val="center"/>
              <w:rPr>
                <w:sz w:val="20"/>
                <w:szCs w:val="20"/>
              </w:rPr>
            </w:pPr>
            <w:r>
              <w:rPr>
                <w:sz w:val="20"/>
                <w:szCs w:val="20"/>
              </w:rPr>
              <w:t>Alto</w:t>
            </w:r>
          </w:p>
        </w:tc>
        <w:tc>
          <w:tcPr>
            <w:tcW w:w="8223" w:type="dxa"/>
          </w:tcPr>
          <w:p w:rsidR="00511ABE" w:rsidRDefault="00443069" w:rsidP="00443069">
            <w:pPr>
              <w:pStyle w:val="Paragrafoelenco"/>
              <w:numPr>
                <w:ilvl w:val="0"/>
                <w:numId w:val="17"/>
              </w:numPr>
              <w:jc w:val="both"/>
              <w:rPr>
                <w:sz w:val="20"/>
                <w:szCs w:val="20"/>
              </w:rPr>
            </w:pPr>
            <w:r>
              <w:rPr>
                <w:sz w:val="20"/>
                <w:szCs w:val="20"/>
              </w:rPr>
              <w:t>Tempestiva trasmissione al Consiglio – in ogni caso almeno 20 giorni prima dell’eventuale attivazione della conferenza di servizi – di una relazione istruttoria indicante la verifica effettuata circa la ricorrenza dei presupposti per l’attivazione del procedimento di variante semplificata richiesta dal privato.</w:t>
            </w:r>
          </w:p>
          <w:p w:rsidR="00443069" w:rsidRDefault="00443069" w:rsidP="00443069">
            <w:pPr>
              <w:pStyle w:val="Paragrafoelenco"/>
              <w:numPr>
                <w:ilvl w:val="0"/>
                <w:numId w:val="17"/>
              </w:numPr>
              <w:jc w:val="both"/>
              <w:rPr>
                <w:sz w:val="20"/>
                <w:szCs w:val="20"/>
              </w:rPr>
            </w:pPr>
            <w:r>
              <w:rPr>
                <w:sz w:val="20"/>
                <w:szCs w:val="20"/>
              </w:rPr>
              <w:t>Elenco delle iniziative produttive approvate in variante, da pubblicarsi sul sito internet dell’ente con l’indicazione:</w:t>
            </w:r>
          </w:p>
          <w:p w:rsidR="00443069" w:rsidRDefault="009214F6" w:rsidP="00443069">
            <w:pPr>
              <w:pStyle w:val="Paragrafoelenco"/>
              <w:numPr>
                <w:ilvl w:val="0"/>
                <w:numId w:val="18"/>
              </w:numPr>
              <w:jc w:val="both"/>
              <w:rPr>
                <w:sz w:val="20"/>
                <w:szCs w:val="20"/>
              </w:rPr>
            </w:pPr>
            <w:r>
              <w:rPr>
                <w:sz w:val="20"/>
                <w:szCs w:val="20"/>
              </w:rPr>
              <w:t>Tipologia dell’intervento e ditta proponente</w:t>
            </w:r>
          </w:p>
          <w:p w:rsidR="009214F6" w:rsidRDefault="009214F6" w:rsidP="00443069">
            <w:pPr>
              <w:pStyle w:val="Paragrafoelenco"/>
              <w:numPr>
                <w:ilvl w:val="0"/>
                <w:numId w:val="18"/>
              </w:numPr>
              <w:jc w:val="both"/>
              <w:rPr>
                <w:sz w:val="20"/>
                <w:szCs w:val="20"/>
              </w:rPr>
            </w:pPr>
            <w:r>
              <w:rPr>
                <w:sz w:val="20"/>
                <w:szCs w:val="20"/>
              </w:rPr>
              <w:t>Data di presentazione dell’istanza</w:t>
            </w:r>
          </w:p>
          <w:p w:rsidR="009214F6" w:rsidRDefault="009214F6" w:rsidP="00443069">
            <w:pPr>
              <w:pStyle w:val="Paragrafoelenco"/>
              <w:numPr>
                <w:ilvl w:val="0"/>
                <w:numId w:val="18"/>
              </w:numPr>
              <w:jc w:val="both"/>
              <w:rPr>
                <w:sz w:val="20"/>
                <w:szCs w:val="20"/>
              </w:rPr>
            </w:pPr>
            <w:r>
              <w:rPr>
                <w:sz w:val="20"/>
                <w:szCs w:val="20"/>
              </w:rPr>
              <w:t>Data di attivazione della conferenza di servizi</w:t>
            </w:r>
          </w:p>
          <w:p w:rsidR="009214F6" w:rsidRDefault="009214F6" w:rsidP="00443069">
            <w:pPr>
              <w:pStyle w:val="Paragrafoelenco"/>
              <w:numPr>
                <w:ilvl w:val="0"/>
                <w:numId w:val="18"/>
              </w:numPr>
              <w:jc w:val="both"/>
              <w:rPr>
                <w:sz w:val="20"/>
                <w:szCs w:val="20"/>
              </w:rPr>
            </w:pPr>
            <w:r>
              <w:rPr>
                <w:sz w:val="20"/>
                <w:szCs w:val="20"/>
              </w:rPr>
              <w:t>Estremi di pubblicazione e deposito progetto approvato in conferenza</w:t>
            </w:r>
          </w:p>
          <w:p w:rsidR="009214F6" w:rsidRDefault="009214F6" w:rsidP="00443069">
            <w:pPr>
              <w:pStyle w:val="Paragrafoelenco"/>
              <w:numPr>
                <w:ilvl w:val="0"/>
                <w:numId w:val="18"/>
              </w:numPr>
              <w:jc w:val="both"/>
              <w:rPr>
                <w:sz w:val="20"/>
                <w:szCs w:val="20"/>
              </w:rPr>
            </w:pPr>
            <w:r>
              <w:rPr>
                <w:sz w:val="20"/>
                <w:szCs w:val="20"/>
              </w:rPr>
              <w:t>Estremi deliberazione del Consiglio Comunale di approvazione</w:t>
            </w:r>
          </w:p>
          <w:p w:rsidR="009214F6" w:rsidRDefault="009214F6" w:rsidP="00443069">
            <w:pPr>
              <w:pStyle w:val="Paragrafoelenco"/>
              <w:numPr>
                <w:ilvl w:val="0"/>
                <w:numId w:val="18"/>
              </w:numPr>
              <w:jc w:val="both"/>
              <w:rPr>
                <w:sz w:val="20"/>
                <w:szCs w:val="20"/>
              </w:rPr>
            </w:pPr>
            <w:r>
              <w:rPr>
                <w:sz w:val="20"/>
                <w:szCs w:val="20"/>
              </w:rPr>
              <w:lastRenderedPageBreak/>
              <w:t>Convenzione sottoscritta</w:t>
            </w:r>
          </w:p>
          <w:p w:rsidR="00443069" w:rsidRPr="003B6026" w:rsidRDefault="00443069" w:rsidP="00443069">
            <w:pPr>
              <w:pStyle w:val="Paragrafoelenco"/>
              <w:jc w:val="both"/>
              <w:rPr>
                <w:sz w:val="20"/>
                <w:szCs w:val="20"/>
              </w:rPr>
            </w:pPr>
          </w:p>
        </w:tc>
      </w:tr>
    </w:tbl>
    <w:p w:rsidR="00BC1504" w:rsidRDefault="00BC1504" w:rsidP="007C1F28">
      <w:pPr>
        <w:spacing w:after="0" w:line="240" w:lineRule="auto"/>
      </w:pPr>
    </w:p>
    <w:tbl>
      <w:tblPr>
        <w:tblStyle w:val="Grigliatabella"/>
        <w:tblW w:w="0" w:type="auto"/>
        <w:tblLook w:val="04A0"/>
      </w:tblPr>
      <w:tblGrid>
        <w:gridCol w:w="3652"/>
        <w:gridCol w:w="2552"/>
        <w:gridCol w:w="8223"/>
      </w:tblGrid>
      <w:tr w:rsidR="00F6480B" w:rsidRPr="006A5FCE" w:rsidTr="002A1857">
        <w:trPr>
          <w:trHeight w:val="382"/>
        </w:trPr>
        <w:tc>
          <w:tcPr>
            <w:tcW w:w="14427" w:type="dxa"/>
            <w:gridSpan w:val="3"/>
          </w:tcPr>
          <w:p w:rsidR="00F6480B" w:rsidRDefault="00F6480B" w:rsidP="002A1857">
            <w:pPr>
              <w:jc w:val="center"/>
              <w:rPr>
                <w:b/>
                <w:sz w:val="24"/>
                <w:szCs w:val="24"/>
              </w:rPr>
            </w:pPr>
          </w:p>
          <w:p w:rsidR="00F6480B" w:rsidRPr="006A5FCE" w:rsidRDefault="00F6480B" w:rsidP="00F6480B">
            <w:pPr>
              <w:jc w:val="center"/>
              <w:rPr>
                <w:b/>
                <w:sz w:val="24"/>
                <w:szCs w:val="24"/>
              </w:rPr>
            </w:pPr>
            <w:r w:rsidRPr="006A5FCE">
              <w:rPr>
                <w:b/>
                <w:sz w:val="24"/>
                <w:szCs w:val="24"/>
              </w:rPr>
              <w:t xml:space="preserve">SCHEDA N. </w:t>
            </w:r>
            <w:r>
              <w:rPr>
                <w:b/>
                <w:sz w:val="24"/>
                <w:szCs w:val="24"/>
              </w:rPr>
              <w:t>5</w:t>
            </w:r>
            <w:r w:rsidRPr="006A5FCE">
              <w:rPr>
                <w:b/>
                <w:sz w:val="24"/>
                <w:szCs w:val="24"/>
              </w:rPr>
              <w:t>:</w:t>
            </w:r>
            <w:r>
              <w:rPr>
                <w:b/>
                <w:sz w:val="24"/>
                <w:szCs w:val="24"/>
              </w:rPr>
              <w:t xml:space="preserve"> GESTIONE PATRIMONIO</w:t>
            </w:r>
          </w:p>
        </w:tc>
      </w:tr>
      <w:tr w:rsidR="00F6480B" w:rsidTr="002A1857">
        <w:tc>
          <w:tcPr>
            <w:tcW w:w="3652" w:type="dxa"/>
          </w:tcPr>
          <w:p w:rsidR="00BC1504" w:rsidRPr="00BC1504" w:rsidRDefault="00BC1504" w:rsidP="002A1857">
            <w:pPr>
              <w:jc w:val="center"/>
              <w:rPr>
                <w:b/>
              </w:rPr>
            </w:pPr>
          </w:p>
          <w:p w:rsidR="00F6480B" w:rsidRPr="00BC1504" w:rsidRDefault="00F6480B" w:rsidP="002A1857">
            <w:pPr>
              <w:jc w:val="center"/>
              <w:rPr>
                <w:b/>
              </w:rPr>
            </w:pPr>
            <w:r w:rsidRPr="00BC1504">
              <w:rPr>
                <w:b/>
              </w:rPr>
              <w:t>Procedimenti</w:t>
            </w:r>
          </w:p>
          <w:p w:rsidR="00BC1504" w:rsidRPr="00BC1504" w:rsidRDefault="00BC1504" w:rsidP="002A1857">
            <w:pPr>
              <w:jc w:val="center"/>
              <w:rPr>
                <w:b/>
              </w:rPr>
            </w:pPr>
          </w:p>
        </w:tc>
        <w:tc>
          <w:tcPr>
            <w:tcW w:w="2552" w:type="dxa"/>
          </w:tcPr>
          <w:p w:rsidR="00BC1504" w:rsidRDefault="00BC1504" w:rsidP="002A1857">
            <w:pPr>
              <w:jc w:val="center"/>
              <w:rPr>
                <w:b/>
              </w:rPr>
            </w:pPr>
          </w:p>
          <w:p w:rsidR="00F6480B" w:rsidRPr="00BC1504" w:rsidRDefault="00F6480B" w:rsidP="002A1857">
            <w:pPr>
              <w:jc w:val="center"/>
              <w:rPr>
                <w:b/>
              </w:rPr>
            </w:pPr>
            <w:r w:rsidRPr="00BC1504">
              <w:rPr>
                <w:b/>
              </w:rPr>
              <w:t>Livello di rischio</w:t>
            </w:r>
          </w:p>
        </w:tc>
        <w:tc>
          <w:tcPr>
            <w:tcW w:w="8223" w:type="dxa"/>
          </w:tcPr>
          <w:p w:rsidR="00BC1504" w:rsidRDefault="00BC1504" w:rsidP="002A1857">
            <w:pPr>
              <w:jc w:val="center"/>
              <w:rPr>
                <w:b/>
              </w:rPr>
            </w:pPr>
          </w:p>
          <w:p w:rsidR="00F6480B" w:rsidRPr="00BC1504" w:rsidRDefault="00F6480B" w:rsidP="002A1857">
            <w:pPr>
              <w:jc w:val="center"/>
              <w:rPr>
                <w:b/>
              </w:rPr>
            </w:pPr>
            <w:r w:rsidRPr="00BC1504">
              <w:rPr>
                <w:b/>
              </w:rPr>
              <w:t>Misure di prevenzione</w:t>
            </w:r>
          </w:p>
        </w:tc>
      </w:tr>
      <w:tr w:rsidR="00F6480B" w:rsidTr="00F6480B">
        <w:tc>
          <w:tcPr>
            <w:tcW w:w="3652" w:type="dxa"/>
          </w:tcPr>
          <w:p w:rsidR="00F6480B" w:rsidRPr="003B6026" w:rsidRDefault="00F6480B" w:rsidP="002A1857">
            <w:pPr>
              <w:jc w:val="both"/>
              <w:rPr>
                <w:sz w:val="20"/>
                <w:szCs w:val="20"/>
              </w:rPr>
            </w:pPr>
            <w:r>
              <w:rPr>
                <w:sz w:val="20"/>
                <w:szCs w:val="20"/>
              </w:rPr>
              <w:t>Locazioni e c</w:t>
            </w:r>
            <w:r w:rsidR="004314DB">
              <w:rPr>
                <w:sz w:val="20"/>
                <w:szCs w:val="20"/>
              </w:rPr>
              <w:t>oncessioni in uso beni immobili</w:t>
            </w:r>
          </w:p>
        </w:tc>
        <w:tc>
          <w:tcPr>
            <w:tcW w:w="2552" w:type="dxa"/>
          </w:tcPr>
          <w:p w:rsidR="00F6480B" w:rsidRPr="003B6026" w:rsidRDefault="00F6480B" w:rsidP="002A1857">
            <w:pPr>
              <w:jc w:val="center"/>
              <w:rPr>
                <w:sz w:val="20"/>
                <w:szCs w:val="20"/>
              </w:rPr>
            </w:pPr>
            <w:r>
              <w:rPr>
                <w:sz w:val="20"/>
                <w:szCs w:val="20"/>
              </w:rPr>
              <w:t>Medio</w:t>
            </w:r>
          </w:p>
        </w:tc>
        <w:tc>
          <w:tcPr>
            <w:tcW w:w="8223" w:type="dxa"/>
          </w:tcPr>
          <w:p w:rsidR="00F6480B" w:rsidRDefault="00857152" w:rsidP="00857152">
            <w:pPr>
              <w:jc w:val="both"/>
              <w:rPr>
                <w:sz w:val="20"/>
                <w:szCs w:val="20"/>
              </w:rPr>
            </w:pPr>
            <w:r>
              <w:rPr>
                <w:sz w:val="20"/>
                <w:szCs w:val="20"/>
              </w:rPr>
              <w:t>Pubblicazione sul sito internet dell’ente dell’elenco dei beni immobili di proprietà comunale, dati in uso a terzi, indicante le seguenti informazioni:</w:t>
            </w:r>
          </w:p>
          <w:p w:rsidR="00857152" w:rsidRDefault="00B90F70" w:rsidP="00B90F70">
            <w:pPr>
              <w:pStyle w:val="Paragrafoelenco"/>
              <w:numPr>
                <w:ilvl w:val="0"/>
                <w:numId w:val="18"/>
              </w:numPr>
              <w:jc w:val="both"/>
              <w:rPr>
                <w:sz w:val="20"/>
                <w:szCs w:val="20"/>
              </w:rPr>
            </w:pPr>
            <w:r>
              <w:rPr>
                <w:sz w:val="20"/>
                <w:szCs w:val="20"/>
              </w:rPr>
              <w:t>Descrizione del bene dato in uso</w:t>
            </w:r>
          </w:p>
          <w:p w:rsidR="00B90F70" w:rsidRDefault="00B90F70" w:rsidP="00B90F70">
            <w:pPr>
              <w:pStyle w:val="Paragrafoelenco"/>
              <w:numPr>
                <w:ilvl w:val="0"/>
                <w:numId w:val="18"/>
              </w:numPr>
              <w:jc w:val="both"/>
              <w:rPr>
                <w:sz w:val="20"/>
                <w:szCs w:val="20"/>
              </w:rPr>
            </w:pPr>
            <w:r>
              <w:rPr>
                <w:sz w:val="20"/>
                <w:szCs w:val="20"/>
              </w:rPr>
              <w:t>Estremi del provvedimento</w:t>
            </w:r>
          </w:p>
          <w:p w:rsidR="00B90F70" w:rsidRDefault="00B90F70" w:rsidP="00B90F70">
            <w:pPr>
              <w:pStyle w:val="Paragrafoelenco"/>
              <w:numPr>
                <w:ilvl w:val="0"/>
                <w:numId w:val="18"/>
              </w:numPr>
              <w:jc w:val="both"/>
              <w:rPr>
                <w:sz w:val="20"/>
                <w:szCs w:val="20"/>
              </w:rPr>
            </w:pPr>
            <w:r>
              <w:rPr>
                <w:sz w:val="20"/>
                <w:szCs w:val="20"/>
              </w:rPr>
              <w:t>Soggetto beneficiario</w:t>
            </w:r>
          </w:p>
          <w:p w:rsidR="00B90F70" w:rsidRDefault="00B90F70" w:rsidP="00B90F70">
            <w:pPr>
              <w:pStyle w:val="Paragrafoelenco"/>
              <w:numPr>
                <w:ilvl w:val="0"/>
                <w:numId w:val="18"/>
              </w:numPr>
              <w:jc w:val="both"/>
              <w:rPr>
                <w:sz w:val="20"/>
                <w:szCs w:val="20"/>
              </w:rPr>
            </w:pPr>
            <w:r>
              <w:rPr>
                <w:sz w:val="20"/>
                <w:szCs w:val="20"/>
              </w:rPr>
              <w:t>Oneri a carico del beneficiario</w:t>
            </w:r>
          </w:p>
          <w:p w:rsidR="00B90F70" w:rsidRPr="00B90F70" w:rsidRDefault="00B90F70" w:rsidP="00B90F70">
            <w:pPr>
              <w:pStyle w:val="Paragrafoelenco"/>
              <w:numPr>
                <w:ilvl w:val="0"/>
                <w:numId w:val="18"/>
              </w:numPr>
              <w:jc w:val="both"/>
              <w:rPr>
                <w:sz w:val="20"/>
                <w:szCs w:val="20"/>
              </w:rPr>
            </w:pPr>
            <w:r>
              <w:rPr>
                <w:sz w:val="20"/>
                <w:szCs w:val="20"/>
              </w:rPr>
              <w:t>Durata del rapporto</w:t>
            </w:r>
          </w:p>
        </w:tc>
      </w:tr>
      <w:tr w:rsidR="001B1969" w:rsidRPr="006A5FCE" w:rsidTr="002A1857">
        <w:trPr>
          <w:trHeight w:val="382"/>
        </w:trPr>
        <w:tc>
          <w:tcPr>
            <w:tcW w:w="14427" w:type="dxa"/>
            <w:gridSpan w:val="3"/>
          </w:tcPr>
          <w:p w:rsidR="001B1969" w:rsidRDefault="001B1969" w:rsidP="002A1857">
            <w:pPr>
              <w:jc w:val="center"/>
              <w:rPr>
                <w:b/>
                <w:sz w:val="24"/>
                <w:szCs w:val="24"/>
              </w:rPr>
            </w:pPr>
          </w:p>
          <w:p w:rsidR="001B1969" w:rsidRPr="006A5FCE" w:rsidRDefault="001B1969" w:rsidP="001B1969">
            <w:pPr>
              <w:jc w:val="center"/>
              <w:rPr>
                <w:b/>
                <w:sz w:val="24"/>
                <w:szCs w:val="24"/>
              </w:rPr>
            </w:pPr>
            <w:r w:rsidRPr="006A5FCE">
              <w:rPr>
                <w:b/>
                <w:sz w:val="24"/>
                <w:szCs w:val="24"/>
              </w:rPr>
              <w:t xml:space="preserve">SCHEDA N. </w:t>
            </w:r>
            <w:r>
              <w:rPr>
                <w:b/>
                <w:sz w:val="24"/>
                <w:szCs w:val="24"/>
              </w:rPr>
              <w:t>6</w:t>
            </w:r>
            <w:r w:rsidRPr="006A5FCE">
              <w:rPr>
                <w:b/>
                <w:sz w:val="24"/>
                <w:szCs w:val="24"/>
              </w:rPr>
              <w:t>:</w:t>
            </w:r>
            <w:r>
              <w:rPr>
                <w:b/>
                <w:sz w:val="24"/>
                <w:szCs w:val="24"/>
              </w:rPr>
              <w:t xml:space="preserve"> CONTRIBUTI</w:t>
            </w:r>
          </w:p>
        </w:tc>
      </w:tr>
      <w:tr w:rsidR="001B1969" w:rsidTr="002A1857">
        <w:tc>
          <w:tcPr>
            <w:tcW w:w="3652" w:type="dxa"/>
          </w:tcPr>
          <w:p w:rsidR="00BC1504" w:rsidRPr="00BC1504" w:rsidRDefault="00BC1504" w:rsidP="002A1857">
            <w:pPr>
              <w:jc w:val="center"/>
              <w:rPr>
                <w:b/>
              </w:rPr>
            </w:pPr>
          </w:p>
          <w:p w:rsidR="001B1969" w:rsidRPr="00BC1504" w:rsidRDefault="001B1969" w:rsidP="002A1857">
            <w:pPr>
              <w:jc w:val="center"/>
              <w:rPr>
                <w:b/>
              </w:rPr>
            </w:pPr>
            <w:r w:rsidRPr="00BC1504">
              <w:rPr>
                <w:b/>
              </w:rPr>
              <w:t>Procedimenti</w:t>
            </w:r>
          </w:p>
          <w:p w:rsidR="00BC1504" w:rsidRPr="00BC1504" w:rsidRDefault="00BC1504" w:rsidP="002A1857">
            <w:pPr>
              <w:jc w:val="center"/>
              <w:rPr>
                <w:b/>
              </w:rPr>
            </w:pPr>
          </w:p>
        </w:tc>
        <w:tc>
          <w:tcPr>
            <w:tcW w:w="2552" w:type="dxa"/>
          </w:tcPr>
          <w:p w:rsidR="00BC1504" w:rsidRDefault="00BC1504" w:rsidP="002A1857">
            <w:pPr>
              <w:jc w:val="center"/>
              <w:rPr>
                <w:b/>
              </w:rPr>
            </w:pPr>
          </w:p>
          <w:p w:rsidR="001B1969" w:rsidRPr="00BC1504" w:rsidRDefault="001B1969" w:rsidP="002A1857">
            <w:pPr>
              <w:jc w:val="center"/>
              <w:rPr>
                <w:b/>
              </w:rPr>
            </w:pPr>
            <w:r w:rsidRPr="00BC1504">
              <w:rPr>
                <w:b/>
              </w:rPr>
              <w:t>Livello di rischio</w:t>
            </w:r>
          </w:p>
        </w:tc>
        <w:tc>
          <w:tcPr>
            <w:tcW w:w="8223" w:type="dxa"/>
          </w:tcPr>
          <w:p w:rsidR="00BC1504" w:rsidRDefault="00BC1504" w:rsidP="002A1857">
            <w:pPr>
              <w:jc w:val="center"/>
              <w:rPr>
                <w:b/>
              </w:rPr>
            </w:pPr>
          </w:p>
          <w:p w:rsidR="001B1969" w:rsidRPr="00BC1504" w:rsidRDefault="001B1969" w:rsidP="002A1857">
            <w:pPr>
              <w:jc w:val="center"/>
              <w:rPr>
                <w:b/>
              </w:rPr>
            </w:pPr>
            <w:r w:rsidRPr="00BC1504">
              <w:rPr>
                <w:b/>
              </w:rPr>
              <w:t>Misure di prevenzione</w:t>
            </w:r>
          </w:p>
        </w:tc>
      </w:tr>
      <w:tr w:rsidR="005E16C5" w:rsidTr="005E16C5">
        <w:tc>
          <w:tcPr>
            <w:tcW w:w="3652" w:type="dxa"/>
          </w:tcPr>
          <w:p w:rsidR="005E16C5" w:rsidRPr="003B6026" w:rsidRDefault="005E16C5" w:rsidP="002A1857">
            <w:pPr>
              <w:jc w:val="both"/>
              <w:rPr>
                <w:sz w:val="20"/>
                <w:szCs w:val="20"/>
              </w:rPr>
            </w:pPr>
            <w:r>
              <w:rPr>
                <w:sz w:val="20"/>
                <w:szCs w:val="20"/>
              </w:rPr>
              <w:t>Concessione di contributi finanziari, in natura o sotto forma di beni e servizi (“Regolamento concessione contributi”, ex delibere C.C. n.44/1991, n.122/1991, n.26/1994)</w:t>
            </w:r>
          </w:p>
        </w:tc>
        <w:tc>
          <w:tcPr>
            <w:tcW w:w="2552" w:type="dxa"/>
          </w:tcPr>
          <w:p w:rsidR="005E16C5" w:rsidRPr="003B6026" w:rsidRDefault="005E16C5" w:rsidP="002A1857">
            <w:pPr>
              <w:jc w:val="center"/>
              <w:rPr>
                <w:sz w:val="20"/>
                <w:szCs w:val="20"/>
              </w:rPr>
            </w:pPr>
            <w:r>
              <w:rPr>
                <w:sz w:val="20"/>
                <w:szCs w:val="20"/>
              </w:rPr>
              <w:t>Alto</w:t>
            </w:r>
          </w:p>
        </w:tc>
        <w:tc>
          <w:tcPr>
            <w:tcW w:w="8223" w:type="dxa"/>
          </w:tcPr>
          <w:p w:rsidR="005E16C5" w:rsidRPr="009B054B" w:rsidRDefault="009B054B" w:rsidP="00BC1504">
            <w:pPr>
              <w:ind w:left="360"/>
              <w:jc w:val="both"/>
              <w:rPr>
                <w:sz w:val="20"/>
                <w:szCs w:val="20"/>
              </w:rPr>
            </w:pPr>
            <w:r>
              <w:rPr>
                <w:sz w:val="20"/>
                <w:szCs w:val="20"/>
              </w:rPr>
              <w:t xml:space="preserve">1) </w:t>
            </w:r>
            <w:r w:rsidRPr="009B054B">
              <w:rPr>
                <w:sz w:val="20"/>
                <w:szCs w:val="20"/>
              </w:rPr>
              <w:t>Pubblicazione sul sito internet dell’ente, nella sezione “</w:t>
            </w:r>
            <w:r w:rsidR="00BC1504">
              <w:rPr>
                <w:sz w:val="20"/>
                <w:szCs w:val="20"/>
              </w:rPr>
              <w:t xml:space="preserve">Amministrazione </w:t>
            </w:r>
            <w:r w:rsidRPr="009B054B">
              <w:rPr>
                <w:sz w:val="20"/>
                <w:szCs w:val="20"/>
              </w:rPr>
              <w:t>Trasparen</w:t>
            </w:r>
            <w:r w:rsidR="00BC1504">
              <w:rPr>
                <w:sz w:val="20"/>
                <w:szCs w:val="20"/>
              </w:rPr>
              <w:t>te</w:t>
            </w:r>
            <w:r w:rsidRPr="009B054B">
              <w:rPr>
                <w:sz w:val="20"/>
                <w:szCs w:val="20"/>
              </w:rPr>
              <w:t>”, delle seguenti informazioni per ciascun atto di concessione di valore superiore a 1.000,00 Euro:</w:t>
            </w:r>
          </w:p>
          <w:p w:rsidR="009B054B" w:rsidRDefault="00776992" w:rsidP="00BC1504">
            <w:pPr>
              <w:pStyle w:val="Paragrafoelenco"/>
              <w:numPr>
                <w:ilvl w:val="0"/>
                <w:numId w:val="20"/>
              </w:numPr>
              <w:jc w:val="both"/>
              <w:rPr>
                <w:sz w:val="20"/>
                <w:szCs w:val="20"/>
              </w:rPr>
            </w:pPr>
            <w:r>
              <w:rPr>
                <w:sz w:val="20"/>
                <w:szCs w:val="20"/>
              </w:rPr>
              <w:t>n</w:t>
            </w:r>
            <w:r w:rsidR="009B054B">
              <w:rPr>
                <w:sz w:val="20"/>
                <w:szCs w:val="20"/>
              </w:rPr>
              <w:t>ome dell’impresa o dell’ente e i rispettivi dati fiscali o il nome di altro soggetto beneficiario;</w:t>
            </w:r>
          </w:p>
          <w:p w:rsidR="009B054B" w:rsidRDefault="00776992" w:rsidP="00BC1504">
            <w:pPr>
              <w:pStyle w:val="Paragrafoelenco"/>
              <w:numPr>
                <w:ilvl w:val="0"/>
                <w:numId w:val="20"/>
              </w:numPr>
              <w:jc w:val="both"/>
              <w:rPr>
                <w:sz w:val="20"/>
                <w:szCs w:val="20"/>
              </w:rPr>
            </w:pPr>
            <w:r>
              <w:rPr>
                <w:sz w:val="20"/>
                <w:szCs w:val="20"/>
              </w:rPr>
              <w:t>l’importo del vantaggio economico corrisposto;</w:t>
            </w:r>
          </w:p>
          <w:p w:rsidR="00776992" w:rsidRDefault="00776992" w:rsidP="00BC1504">
            <w:pPr>
              <w:pStyle w:val="Paragrafoelenco"/>
              <w:numPr>
                <w:ilvl w:val="0"/>
                <w:numId w:val="20"/>
              </w:numPr>
              <w:jc w:val="both"/>
              <w:rPr>
                <w:sz w:val="20"/>
                <w:szCs w:val="20"/>
              </w:rPr>
            </w:pPr>
            <w:r>
              <w:rPr>
                <w:sz w:val="20"/>
                <w:szCs w:val="20"/>
              </w:rPr>
              <w:t>la norma o il titolo a base dell’attribuzione;</w:t>
            </w:r>
          </w:p>
          <w:p w:rsidR="00776992" w:rsidRDefault="00776992" w:rsidP="00BC1504">
            <w:pPr>
              <w:pStyle w:val="Paragrafoelenco"/>
              <w:numPr>
                <w:ilvl w:val="0"/>
                <w:numId w:val="20"/>
              </w:numPr>
              <w:jc w:val="both"/>
              <w:rPr>
                <w:sz w:val="20"/>
                <w:szCs w:val="20"/>
              </w:rPr>
            </w:pPr>
            <w:r>
              <w:rPr>
                <w:sz w:val="20"/>
                <w:szCs w:val="20"/>
              </w:rPr>
              <w:t>l’ufficio e il funzionario o dirigente responsabile del relativo procedimento amministrativo;</w:t>
            </w:r>
          </w:p>
          <w:p w:rsidR="00776992" w:rsidRDefault="00776992" w:rsidP="00BC1504">
            <w:pPr>
              <w:pStyle w:val="Paragrafoelenco"/>
              <w:numPr>
                <w:ilvl w:val="0"/>
                <w:numId w:val="20"/>
              </w:numPr>
              <w:jc w:val="both"/>
              <w:rPr>
                <w:sz w:val="20"/>
                <w:szCs w:val="20"/>
              </w:rPr>
            </w:pPr>
            <w:r>
              <w:rPr>
                <w:sz w:val="20"/>
                <w:szCs w:val="20"/>
              </w:rPr>
              <w:t>la modalità seguita per l’individuazione del beneficiario;</w:t>
            </w:r>
          </w:p>
          <w:p w:rsidR="00776992" w:rsidRDefault="00776992" w:rsidP="00BC1504">
            <w:pPr>
              <w:pStyle w:val="Paragrafoelenco"/>
              <w:numPr>
                <w:ilvl w:val="0"/>
                <w:numId w:val="20"/>
              </w:numPr>
              <w:jc w:val="both"/>
              <w:rPr>
                <w:sz w:val="20"/>
                <w:szCs w:val="20"/>
              </w:rPr>
            </w:pPr>
            <w:r>
              <w:rPr>
                <w:sz w:val="20"/>
                <w:szCs w:val="20"/>
              </w:rPr>
              <w:t xml:space="preserve">il link al progetto selezionato e al curriculum del soggetto incaricato (art.27, comma 1, </w:t>
            </w:r>
            <w:proofErr w:type="spellStart"/>
            <w:r>
              <w:rPr>
                <w:sz w:val="20"/>
                <w:szCs w:val="20"/>
              </w:rPr>
              <w:t>D.Lgs.</w:t>
            </w:r>
            <w:proofErr w:type="spellEnd"/>
            <w:r>
              <w:rPr>
                <w:sz w:val="20"/>
                <w:szCs w:val="20"/>
              </w:rPr>
              <w:t xml:space="preserve"> n.33/2013)</w:t>
            </w:r>
          </w:p>
          <w:p w:rsidR="001D03F5" w:rsidRPr="00A31773" w:rsidRDefault="00A31773" w:rsidP="00BC1504">
            <w:pPr>
              <w:ind w:left="360"/>
              <w:jc w:val="both"/>
              <w:rPr>
                <w:sz w:val="20"/>
                <w:szCs w:val="20"/>
              </w:rPr>
            </w:pPr>
            <w:r>
              <w:rPr>
                <w:sz w:val="20"/>
                <w:szCs w:val="20"/>
              </w:rPr>
              <w:t>2)</w:t>
            </w:r>
            <w:r w:rsidR="00B53D47" w:rsidRPr="00A31773">
              <w:rPr>
                <w:sz w:val="20"/>
                <w:szCs w:val="20"/>
              </w:rPr>
              <w:t>Report semestrale da trasmettersi, a cura del Dirigente, al Responsabile su:</w:t>
            </w:r>
          </w:p>
          <w:p w:rsidR="004F605A" w:rsidRDefault="004F605A" w:rsidP="00BC1504">
            <w:pPr>
              <w:pStyle w:val="Paragrafoelenco"/>
              <w:ind w:left="1080"/>
              <w:jc w:val="both"/>
              <w:rPr>
                <w:sz w:val="20"/>
                <w:szCs w:val="20"/>
              </w:rPr>
            </w:pPr>
            <w:r>
              <w:rPr>
                <w:sz w:val="20"/>
                <w:szCs w:val="20"/>
              </w:rPr>
              <w:t>-n</w:t>
            </w:r>
            <w:r w:rsidR="00BC1504">
              <w:rPr>
                <w:sz w:val="20"/>
                <w:szCs w:val="20"/>
              </w:rPr>
              <w:t>umero d</w:t>
            </w:r>
            <w:r>
              <w:rPr>
                <w:sz w:val="20"/>
                <w:szCs w:val="20"/>
              </w:rPr>
              <w:t>i atti di concessione di contributi adottati</w:t>
            </w:r>
          </w:p>
          <w:p w:rsidR="00776992" w:rsidRPr="007C1F28" w:rsidRDefault="004F605A" w:rsidP="007C1F28">
            <w:pPr>
              <w:pStyle w:val="Paragrafoelenco"/>
              <w:ind w:left="1080"/>
              <w:jc w:val="both"/>
              <w:rPr>
                <w:sz w:val="20"/>
                <w:szCs w:val="20"/>
              </w:rPr>
            </w:pPr>
            <w:r>
              <w:rPr>
                <w:sz w:val="20"/>
                <w:szCs w:val="20"/>
              </w:rPr>
              <w:t>-importo dei vantaggi economici corrisposti</w:t>
            </w:r>
            <w:bookmarkStart w:id="0" w:name="_GoBack"/>
            <w:bookmarkEnd w:id="0"/>
          </w:p>
          <w:p w:rsidR="005E16C5" w:rsidRPr="008A0EA1" w:rsidRDefault="005E16C5" w:rsidP="00776992">
            <w:pPr>
              <w:pStyle w:val="Paragrafoelenco"/>
              <w:rPr>
                <w:sz w:val="20"/>
                <w:szCs w:val="20"/>
              </w:rPr>
            </w:pPr>
          </w:p>
        </w:tc>
      </w:tr>
    </w:tbl>
    <w:p w:rsidR="00BC1504" w:rsidRDefault="00BC1504" w:rsidP="007C1F28">
      <w:pPr>
        <w:spacing w:after="0" w:line="240" w:lineRule="auto"/>
      </w:pPr>
    </w:p>
    <w:sectPr w:rsidR="00BC1504" w:rsidSect="00225A8D">
      <w:pgSz w:w="16838" w:h="11906" w:orient="landscape"/>
      <w:pgMar w:top="1134" w:right="141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E16B7"/>
    <w:multiLevelType w:val="hybridMultilevel"/>
    <w:tmpl w:val="AA728360"/>
    <w:lvl w:ilvl="0" w:tplc="0B66C450">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141A6B95"/>
    <w:multiLevelType w:val="hybridMultilevel"/>
    <w:tmpl w:val="E764863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9407184"/>
    <w:multiLevelType w:val="hybridMultilevel"/>
    <w:tmpl w:val="5298FD4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20587963"/>
    <w:multiLevelType w:val="hybridMultilevel"/>
    <w:tmpl w:val="991658C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0FA421E"/>
    <w:multiLevelType w:val="hybridMultilevel"/>
    <w:tmpl w:val="3F52BF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8266B87"/>
    <w:multiLevelType w:val="hybridMultilevel"/>
    <w:tmpl w:val="B7248F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B8434AE"/>
    <w:multiLevelType w:val="hybridMultilevel"/>
    <w:tmpl w:val="68FA9A2E"/>
    <w:lvl w:ilvl="0" w:tplc="BA4C8A5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EF11E68"/>
    <w:multiLevelType w:val="hybridMultilevel"/>
    <w:tmpl w:val="749C1D7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28712DE"/>
    <w:multiLevelType w:val="hybridMultilevel"/>
    <w:tmpl w:val="E5A209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9F4171B"/>
    <w:multiLevelType w:val="hybridMultilevel"/>
    <w:tmpl w:val="263C13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AAC155C"/>
    <w:multiLevelType w:val="hybridMultilevel"/>
    <w:tmpl w:val="48DC8BD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04E3620"/>
    <w:multiLevelType w:val="hybridMultilevel"/>
    <w:tmpl w:val="75E2EF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4C31F8D"/>
    <w:multiLevelType w:val="hybridMultilevel"/>
    <w:tmpl w:val="3D42928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880262B"/>
    <w:multiLevelType w:val="hybridMultilevel"/>
    <w:tmpl w:val="EF9CDC7A"/>
    <w:lvl w:ilvl="0" w:tplc="E952B4D0">
      <w:start w:val="1"/>
      <w:numFmt w:val="decimal"/>
      <w:lvlText w:val="%1."/>
      <w:lvlJc w:val="left"/>
      <w:pPr>
        <w:ind w:left="720" w:hanging="360"/>
      </w:pPr>
      <w:rPr>
        <w:rFonts w:asciiTheme="minorHAnsi" w:eastAsiaTheme="minorHAnsi" w:hAnsiTheme="minorHAnsi"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9952CB1"/>
    <w:multiLevelType w:val="hybridMultilevel"/>
    <w:tmpl w:val="9FD2DD34"/>
    <w:lvl w:ilvl="0" w:tplc="017EAF4C">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A834546"/>
    <w:multiLevelType w:val="hybridMultilevel"/>
    <w:tmpl w:val="61FC87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DDA69D5"/>
    <w:multiLevelType w:val="hybridMultilevel"/>
    <w:tmpl w:val="1148455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F0C4D3E"/>
    <w:multiLevelType w:val="hybridMultilevel"/>
    <w:tmpl w:val="E5A209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F972CA1"/>
    <w:multiLevelType w:val="hybridMultilevel"/>
    <w:tmpl w:val="C4B60556"/>
    <w:lvl w:ilvl="0" w:tplc="D4684E9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55363A7F"/>
    <w:multiLevelType w:val="hybridMultilevel"/>
    <w:tmpl w:val="40BA87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91F4F26"/>
    <w:multiLevelType w:val="hybridMultilevel"/>
    <w:tmpl w:val="555036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695C6A"/>
    <w:multiLevelType w:val="hybridMultilevel"/>
    <w:tmpl w:val="A2A07D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9C5355C"/>
    <w:multiLevelType w:val="hybridMultilevel"/>
    <w:tmpl w:val="0C0A38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0D0534A"/>
    <w:multiLevelType w:val="hybridMultilevel"/>
    <w:tmpl w:val="17AA18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1F23EE7"/>
    <w:multiLevelType w:val="hybridMultilevel"/>
    <w:tmpl w:val="E5A209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34512FB"/>
    <w:multiLevelType w:val="hybridMultilevel"/>
    <w:tmpl w:val="F44A50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4C63ED8"/>
    <w:multiLevelType w:val="hybridMultilevel"/>
    <w:tmpl w:val="750CA70C"/>
    <w:lvl w:ilvl="0" w:tplc="7610DDF4">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65A53448"/>
    <w:multiLevelType w:val="hybridMultilevel"/>
    <w:tmpl w:val="E5A209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139622E"/>
    <w:multiLevelType w:val="hybridMultilevel"/>
    <w:tmpl w:val="730E74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2"/>
  </w:num>
  <w:num w:numId="3">
    <w:abstractNumId w:val="16"/>
  </w:num>
  <w:num w:numId="4">
    <w:abstractNumId w:val="10"/>
  </w:num>
  <w:num w:numId="5">
    <w:abstractNumId w:val="1"/>
  </w:num>
  <w:num w:numId="6">
    <w:abstractNumId w:val="13"/>
  </w:num>
  <w:num w:numId="7">
    <w:abstractNumId w:val="20"/>
  </w:num>
  <w:num w:numId="8">
    <w:abstractNumId w:val="22"/>
  </w:num>
  <w:num w:numId="9">
    <w:abstractNumId w:val="25"/>
  </w:num>
  <w:num w:numId="10">
    <w:abstractNumId w:val="19"/>
  </w:num>
  <w:num w:numId="11">
    <w:abstractNumId w:val="28"/>
  </w:num>
  <w:num w:numId="12">
    <w:abstractNumId w:val="21"/>
  </w:num>
  <w:num w:numId="13">
    <w:abstractNumId w:val="15"/>
  </w:num>
  <w:num w:numId="14">
    <w:abstractNumId w:val="8"/>
  </w:num>
  <w:num w:numId="15">
    <w:abstractNumId w:val="27"/>
  </w:num>
  <w:num w:numId="16">
    <w:abstractNumId w:val="26"/>
  </w:num>
  <w:num w:numId="17">
    <w:abstractNumId w:val="24"/>
  </w:num>
  <w:num w:numId="18">
    <w:abstractNumId w:val="0"/>
  </w:num>
  <w:num w:numId="19">
    <w:abstractNumId w:val="17"/>
  </w:num>
  <w:num w:numId="20">
    <w:abstractNumId w:val="9"/>
  </w:num>
  <w:num w:numId="21">
    <w:abstractNumId w:val="2"/>
  </w:num>
  <w:num w:numId="22">
    <w:abstractNumId w:val="7"/>
  </w:num>
  <w:num w:numId="23">
    <w:abstractNumId w:val="4"/>
  </w:num>
  <w:num w:numId="24">
    <w:abstractNumId w:val="23"/>
  </w:num>
  <w:num w:numId="25">
    <w:abstractNumId w:val="5"/>
  </w:num>
  <w:num w:numId="26">
    <w:abstractNumId w:val="14"/>
  </w:num>
  <w:num w:numId="27">
    <w:abstractNumId w:val="6"/>
  </w:num>
  <w:num w:numId="28">
    <w:abstractNumId w:val="11"/>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225A8D"/>
    <w:rsid w:val="00073C34"/>
    <w:rsid w:val="000772F7"/>
    <w:rsid w:val="0008032D"/>
    <w:rsid w:val="000F5B3F"/>
    <w:rsid w:val="001122D1"/>
    <w:rsid w:val="00187217"/>
    <w:rsid w:val="001B1969"/>
    <w:rsid w:val="001D03F5"/>
    <w:rsid w:val="001F0997"/>
    <w:rsid w:val="001F7360"/>
    <w:rsid w:val="00225A8D"/>
    <w:rsid w:val="002B0E82"/>
    <w:rsid w:val="0034220D"/>
    <w:rsid w:val="003A5AB5"/>
    <w:rsid w:val="003B6026"/>
    <w:rsid w:val="003F7C57"/>
    <w:rsid w:val="00413F54"/>
    <w:rsid w:val="004145C8"/>
    <w:rsid w:val="004314DB"/>
    <w:rsid w:val="00443069"/>
    <w:rsid w:val="00482751"/>
    <w:rsid w:val="004846DB"/>
    <w:rsid w:val="00491AAA"/>
    <w:rsid w:val="004C01C7"/>
    <w:rsid w:val="004C16F1"/>
    <w:rsid w:val="004F605A"/>
    <w:rsid w:val="00511ABE"/>
    <w:rsid w:val="00511AE2"/>
    <w:rsid w:val="00582D83"/>
    <w:rsid w:val="005845CA"/>
    <w:rsid w:val="005E16C5"/>
    <w:rsid w:val="006A5FCE"/>
    <w:rsid w:val="00730594"/>
    <w:rsid w:val="00776992"/>
    <w:rsid w:val="007B16E3"/>
    <w:rsid w:val="007B3378"/>
    <w:rsid w:val="007B71DD"/>
    <w:rsid w:val="007C1F28"/>
    <w:rsid w:val="008375C0"/>
    <w:rsid w:val="00857152"/>
    <w:rsid w:val="008A0EA1"/>
    <w:rsid w:val="00907667"/>
    <w:rsid w:val="009124E9"/>
    <w:rsid w:val="009214F6"/>
    <w:rsid w:val="00927F1F"/>
    <w:rsid w:val="00977ECE"/>
    <w:rsid w:val="009B054B"/>
    <w:rsid w:val="009D0AC7"/>
    <w:rsid w:val="00A31773"/>
    <w:rsid w:val="00A6333D"/>
    <w:rsid w:val="00AA619B"/>
    <w:rsid w:val="00AE110D"/>
    <w:rsid w:val="00B049EF"/>
    <w:rsid w:val="00B21780"/>
    <w:rsid w:val="00B23525"/>
    <w:rsid w:val="00B53D47"/>
    <w:rsid w:val="00B90F70"/>
    <w:rsid w:val="00BB394D"/>
    <w:rsid w:val="00BC1504"/>
    <w:rsid w:val="00BC19F5"/>
    <w:rsid w:val="00BF1AF6"/>
    <w:rsid w:val="00C13A19"/>
    <w:rsid w:val="00C328FA"/>
    <w:rsid w:val="00C438D5"/>
    <w:rsid w:val="00C61A37"/>
    <w:rsid w:val="00C635FF"/>
    <w:rsid w:val="00C7753C"/>
    <w:rsid w:val="00D05296"/>
    <w:rsid w:val="00D61D68"/>
    <w:rsid w:val="00DD150A"/>
    <w:rsid w:val="00DF5389"/>
    <w:rsid w:val="00E03F73"/>
    <w:rsid w:val="00E1687F"/>
    <w:rsid w:val="00EE4636"/>
    <w:rsid w:val="00F6480B"/>
    <w:rsid w:val="00FA6621"/>
    <w:rsid w:val="00FF209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C16F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6A5FCE"/>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6A5FCE"/>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6A5F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5FCE"/>
    <w:rPr>
      <w:rFonts w:ascii="Tahoma" w:hAnsi="Tahoma" w:cs="Tahoma"/>
      <w:sz w:val="16"/>
      <w:szCs w:val="16"/>
    </w:rPr>
  </w:style>
  <w:style w:type="table" w:styleId="Grigliatabella">
    <w:name w:val="Table Grid"/>
    <w:basedOn w:val="Tabellanormale"/>
    <w:uiPriority w:val="59"/>
    <w:rsid w:val="006A5F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5845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6A5FCE"/>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6A5FCE"/>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6A5F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5FCE"/>
    <w:rPr>
      <w:rFonts w:ascii="Tahoma" w:hAnsi="Tahoma" w:cs="Tahoma"/>
      <w:sz w:val="16"/>
      <w:szCs w:val="16"/>
    </w:rPr>
  </w:style>
  <w:style w:type="table" w:styleId="Grigliatabella">
    <w:name w:val="Table Grid"/>
    <w:basedOn w:val="Tabellanormale"/>
    <w:uiPriority w:val="59"/>
    <w:rsid w:val="006A5F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5845C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C5D95-DF4A-4DBB-91E1-83701E4FA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2152</Words>
  <Characters>12272</Characters>
  <Application>Microsoft Office Word</Application>
  <DocSecurity>4</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14396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Marcheselli</dc:creator>
  <cp:keywords/>
  <dc:description/>
  <cp:lastModifiedBy>D' Urbano</cp:lastModifiedBy>
  <cp:revision>2</cp:revision>
  <cp:lastPrinted>2014-01-28T09:58:00Z</cp:lastPrinted>
  <dcterms:created xsi:type="dcterms:W3CDTF">2015-12-18T10:53:00Z</dcterms:created>
  <dcterms:modified xsi:type="dcterms:W3CDTF">2015-12-18T10:53:00Z</dcterms:modified>
</cp:coreProperties>
</file>